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6B_1088/2019 vom 30. Oktober 2019</w:t>
      </w:r>
    </w:p>
    <w:p>
      <w:r>
        <w:t>Bundesgericht, 2019-10-30, DE</w:t>
      </w:r>
    </w:p>
    <w:p>
      <w:r>
        <w:rPr>
          <w:b/>
        </w:rPr>
        <w:t xml:space="preserve">Quelle: </w:t>
      </w:r>
      <w:r>
        <w:t>https://mcp.opencaselaw.ch/entscheid/bger_6B_1088_2019</w:t>
      </w:r>
    </w:p>
    <w:p>
      <w:r>
        <w:t>FR: TF 6B_1088/2019 du 30 octobre 2019</w:t>
      </w:r>
    </w:p>
    <w:p>
      <w:r>
        <w:t>IT: TF 6B_1088/2019 del 30 ottobre 2019</w:t>
      </w:r>
    </w:p>
    <w:p>
      <w:pPr>
        <w:pStyle w:val="Heading2"/>
      </w:pPr>
      <w:r>
        <w:t>Erwägungen</w:t>
      </w:r>
    </w:p>
    <w:p>
      <w:r>
        <w:rPr>
          <w:b/>
        </w:rPr>
        <w:t>E. 1</w:t>
      </w:r>
    </w:p>
    <w:p>
      <w:r>
        <w:t>Nach einer Strafanzeige des Beschwerdeführers wegen Amtsmissbrauch und Betrug gegen die IV-Stelle/Ausgleichskasse Nidwalden bzw. deren Mitarbeitende (namentlich B.________) stellte die Staatsanwaltschaft Nidwalden das Strafverfahren am 29. Mai 2019 ein. Eine dagegen gerichtete Beschwerde wies das Obergericht des Kantons Nidwalden am 22. August 2019 ab.</w:t>
      </w:r>
    </w:p>
    <w:p>
      <w:r>
        <w:t>Der Beschwerdeführer wendet sich an das Bundesgericht.</w:t>
      </w:r>
    </w:p>
    <w:p>
      <w:r>
        <w:rPr>
          <w:b/>
        </w:rPr>
        <w:t>E. 2</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BGE 141 IV 1 E. 1.1 S. 4 f.).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t>Der Beschwerdeführer äussert sich nicht zu seiner Beschwerdelegitimation als Privatkläger, die vorliegend auch nicht gegeben ist. Denn zivilrechtliche Ansprüche gegen Mitarbeitende der IV-Stelle/Ausgleichskasse des Kantons Nidwalden stehen ihm nicht zu, sondern nur allenfalls staatshaftungsrechtliche Schadensersatzansprüche, welche indessen öffentlich-rechtlicher Natur wären (vgl. Art. 66 IVG i.V.m. Art. 78 ATSG , Art. 52, 70 und 71a AHVG ; siehe Urteil 6B_1392/2017 vom 22. Mai 2018 E. 4.1) und demnach in einem Strafverfahren nicht adhäsionsweise geltend gemacht werden könnten. Der Beschwerdeführer ist folglich zur Beschwerde in Strafsachen nicht legitimiert.</w:t>
      </w:r>
    </w:p>
    <w:p>
      <w:r>
        <w:rPr>
          <w:b/>
        </w:rPr>
        <w:t>E. 3</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mit Hinweisen).</w:t>
      </w:r>
    </w:p>
    <w:p>
      <w:r>
        <w:t>Der Beschwerdeführer rügt, die Staatsanwaltschaft und das Kantonsgericht (recte wohl Obergericht) hätten ihm die unentgeltliche Rechtspflege zu Unrecht verweigert. Indessen zeigt er nicht auf und ist auch nicht ersichtlich, dass er ein solches Gesuch vor Obergericht überhaupt gestellt und sich zudem zur Nichtaussichtslosigkeit einer Zivilklage geäussert (vgl. Art. 136 Abs. 1 lit. b StPO ) bzw. er das von der Staatsanwaltschaft am 13. Mai 2019 abgewiesene Gesuch um Beigebung eines unentgeltlichen Rechtsbeistands vor Obergericht angefochten hätte. Aus seiner Beschwerde ergibt sich mithin nicht, inwiefern der angefochtene Entscheid gegen das Recht im Sinne von Art. 95 BGG verstossen könnte. Die Beschwerde genügt den Begründungsanforderungen nicht (Art. 42 Abs. 2 bzw. Art. 106 Abs. 2 BGG ).</w:t>
      </w:r>
    </w:p>
    <w:p>
      <w:r>
        <w:t>Der Beschwerdeführer bemängelt vor Bundesgericht, die Strafuntersuchungsakten seien unvollständig. Dass er diese Behauptung bereits im kantonalen Verfahren vorgebracht hätte, ist nicht ersichtlich. Auf das erstmals vor Bundesgericht erhobene Vorbringen kann nicht eingetreten werden. Abgesehen davon liesse sich ohnehin nur im Rahmen einer (unzulässigen) materiellen Prüfung der Angelegenheit sagen, ob das bzw. die als "nicht vorhanden" bezeichnete (n) Dokument (e) überhaupt von Belang wäre (n).</w:t>
      </w:r>
    </w:p>
    <w:p>
      <w:r>
        <w:rPr>
          <w:b/>
        </w:rPr>
        <w:t>E. 4</w:t>
      </w:r>
    </w:p>
    <w:p>
      <w:r>
        <w:t>Auf die Beschwerde ist im Verfahren nach Art. 108 BGG mangels Legitimation und tauglicher Begründung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