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6B_1087/2015 vom 18. November 2015</w:t>
      </w:r>
    </w:p>
    <w:p>
      <w:r>
        <w:t>Bundesgericht, 2015-11-18, DE</w:t>
      </w:r>
    </w:p>
    <w:p>
      <w:r>
        <w:rPr>
          <w:b/>
        </w:rPr>
        <w:t xml:space="preserve">Quelle: </w:t>
      </w:r>
      <w:r>
        <w:t>https://mcp.opencaselaw.ch/entscheid/bger_6B_1087_2015</w:t>
      </w:r>
    </w:p>
    <w:p>
      <w:r>
        <w:t>FR: TF 6B_1087/2015 du 18 novembre 2015</w:t>
      </w:r>
    </w:p>
    <w:p>
      <w:r>
        <w:t>IT: TF 6B_1087/2015 del 18 novembre 2015</w:t>
      </w:r>
    </w:p>
    <w:p>
      <w:pPr>
        <w:pStyle w:val="Heading2"/>
      </w:pPr>
      <w:r>
        <w:t>Erwägungen</w:t>
      </w:r>
    </w:p>
    <w:p>
      <w:r>
        <w:rPr>
          <w:b/>
        </w:rPr>
        <w:t>E. 1</w:t>
      </w:r>
    </w:p>
    <w:p>
      <w:r>
        <w:t>Am 14. September 2015 trat das Obergericht des Kantons Bern auf eine Berufung nicht ein, weil der Beschwerdeführer innert Frist keine Berufungserklärung eingereicht hatte. Der Beschwerdeführer wendet sich ans Bundesgericht, ohne einen ausdrücklichen Antrag zu stellen.</w:t>
      </w:r>
    </w:p>
    <w:p>
      <w:r>
        <w:t>Im vorliegenden Verfahren kann sich das Bundesgericht nur mit der Frage befassen, ob der Beschwerdeführer rechtzeitig eine Berufungserklärung eingereicht hat oder nicht. Dazu äussert er sich in seiner Eingabe vor Bundesgericht indessen nicht. Seine Ausführungen zur Sache sind unzulässig, weil die Vorinstanz die Angelegenheit materiell nicht beurteilt hat. Die Beschwerde entspricht den Begründungsanforderungen von Art. 42 Abs. 2 BGG nicht. Darauf ist im Verfahren nach Art. 108 BGG nicht einzutreten.</w:t>
      </w:r>
    </w:p>
    <w:p>
      <w:r>
        <w:rPr>
          <w:b/>
        </w:rPr>
        <w:t>E. 2</w:t>
      </w:r>
    </w:p>
    <w:p>
      <w:r>
        <w:t>Die Gerichtskosten sind dem Beschwerdeführer aufzuerlegen ( Art. 66 Abs. 1 BGG ). Das nachträglich sinngemäss gestellte Gesuch um unentgeltliche Rechtspflege (vgl. act. 11)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