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1087/2013 vom 22. Oktober 2014</w:t>
      </w:r>
    </w:p>
    <w:p>
      <w:r>
        <w:t>Bundesgericht, 2014-10-22, FR</w:t>
      </w:r>
    </w:p>
    <w:p>
      <w:r>
        <w:rPr>
          <w:b/>
        </w:rPr>
        <w:t xml:space="preserve">Quelle: </w:t>
      </w:r>
      <w:r>
        <w:t>https://mcp.opencaselaw.ch/entscheid/bger_6B_1087_2013</w:t>
      </w:r>
    </w:p>
    <w:p>
      <w:r>
        <w:t>FR: TF 6B 1087/2013 du 22 octobre 2014</w:t>
      </w:r>
    </w:p>
    <w:p>
      <w:r>
        <w:t>IT: TF 6B 1087/2013 del 22 ottobre 2014</w:t>
      </w:r>
    </w:p>
    <w:p>
      <w:pPr>
        <w:pStyle w:val="Heading2"/>
      </w:pPr>
      <w:r>
        <w:t>Regeste</w:t>
      </w:r>
    </w:p>
    <w:p>
      <w:r>
        <w:t>Tentative d'assassinat | Infractions</w:t>
      </w:r>
    </w:p>
    <w:p>
      <w:pPr>
        <w:pStyle w:val="Heading2"/>
      </w:pPr>
      <w:r>
        <w:t>Erwägungen</w:t>
      </w:r>
    </w:p>
    <w:p>
      <w:r>
        <w:rPr>
          <w:b/>
        </w:rPr>
        <w:t>E. 1</w:t>
      </w:r>
    </w:p>
    <w:p>
      <w:r>
        <w:t>Le recourant s'en prend à l'état de fait, qu'il qualifie d'arbitraire sur plusieurs points ( art. 9 Cst. ).</w:t>
      </w:r>
    </w:p>
    <w:p>
      <w:r>
        <w:rPr>
          <w:b/>
        </w:rPr>
        <w:t>E. 1.1</w:t>
      </w:r>
    </w:p>
    <w:p>
      <w:r>
        <w:t>Le Tribunal fédéral est un juge du droit. Il ne peut revoir les faits établis par l'autorité précédente que si ceux-ci l'ont été de manière manifestement inexacte, c'est-à-dire arbitraire ( ATF 137 II 353 consid. 5.1 p. 356) et pour autant que la correction du vice soit susceptible d'influer sur l'issue du litige ( art. 97 al. 1 LTF ).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Le recourant reproche à la cour cantonale d'avoir versé dans l'arbitraire en retenant la présence de dix agresseurs (le nombre d'agresseurs établi serait de six) et une situation sans issue (le passage disposerait d'une troisième issue). Elle aurait également, arbitrairement, omis de constater que l'agression a été très brève (deux, voire trois secondes). La cour cantonale a retenu que le recourant et ses comparses avaient tendu un guet-apens à la victime. Le nombre exact des agresseurs n'est pas déterminant. Il est également sans importance que le passage disposât d'une troisième sortie. Ce qui est important, c'est que l'opération a été organisée et planifiée; la durée de l'opération, qui ressort de l'état de fait cantonal, ne joue aucun rôle. En retenant que le recourant et ses acolytes avaient dressé une embuscade à la victime, la cour cantonale n'a donc pas versé dans l'arbitraire. Les griefs soulevés sont infondés.</w:t>
      </w:r>
    </w:p>
    <w:p>
      <w:r>
        <w:rPr>
          <w:b/>
        </w:rPr>
        <w:t>E. 1.3</w:t>
      </w:r>
    </w:p>
    <w:p>
      <w:r>
        <w:t>Le recourant fait grief à la cour cantonale d'avoir retenu que les mobiles étaient obscurs. La cour cantonale n'a pas pu établir les mobiles exacts des agresseurs. Elle a retenu qu'il s'agissait d'un règlement de compte, que la victime se soit approprié du haschich en conservant le prix de vente à hauteur de 1600 fr., qu'elle ait refusé d'intégrer une bande spécialisée dans la commission de diverses infractions ou encore en raison d'anciennes querelles pouvant remonter à l'époque où les intéressés auraient vécu en Algérie. En retenant qu'il s'agissait d'un règlement de compte (sans pouvoir arrêter précisément le contexte), la cour cantonale n'a pas versé dans l'arbitraire. Le grief soulevé doit donc être rejeté.</w:t>
      </w:r>
    </w:p>
    <w:p>
      <w:r>
        <w:rPr>
          <w:b/>
        </w:rPr>
        <w:t>E. 1.4</w:t>
      </w:r>
    </w:p>
    <w:p>
      <w:r>
        <w:t>Le recourant reproche à la cour cantonale de ne pas avoir retenu, lors de la qualification de l'infraction, qu'il présentait des capacités d'empathie qui excluaient de pouvoir le considérer comme un assassin. En effet, il explique qu'il s'était excusé et avait admis son implication dans l'agression, éléments qui devraient démontrer qu'il n'avait pas fait preuve d'une absence particulière de scrupules. Il convient d'abord de relever que le fait que le recourant s'est excusé et a admis son implication dans la bagarre ne signifie pas encore qu'il présente des capacités d'empathie. Savoir si les excuses excluent la qualification d'assassin est une question de droit. Dans la mesure où l'absence particulière de scrupules, caractéristique de l'assassinat, doit résulter de l'acte lui-même (ou des circonstances qui l'entourent directement), c'est à juste titre que la cour cantonale n'a pas tenu compte des excuses au stade de la qualification de l'infraction, mais de la fixation de la peine (cf. consid. 3.1.1). Le grief soulevé est donc infondé.</w:t>
      </w:r>
    </w:p>
    <w:p>
      <w:r>
        <w:rPr>
          <w:b/>
        </w:rPr>
        <w:t>E. 1.5</w:t>
      </w:r>
    </w:p>
    <w:p>
      <w:r>
        <w:t>Le recourant fait grief à la cour cantonale d'avoir retenu, de manière arbitraire, que les prévenus avaient renoncé à leur funeste projet " en étant dérangés par la présence de passants ou d'usagers de la route circulant le long de l'avenue du Mail ou encore par d'autres éléments extérieurs, tels que le passage inopiné d'une patrouille de police ". Selon lui, la cour cantonale aurait omis de retenir, de manière arbitraire, que les prévenus avaient volontairement laissé fuir leur victime qu'ils avaient pourtant rattrapée, que la victime aurait pu se réfugier dans un des nombreux établissements ouverts qui se situaient dans et devant le passage et que les lieux étaient fortement fréquentés. L'ensemble de ces éléments devraient établir que le recourant et les prévenus n'avaient pas pour but de tuer la victime. Le recourant a été condamné pour tentative (intentionnelle) d'assassinat. Il a été retenu qu'il avait agi par dol éventuel, à savoir qu'il avait envisagé la mort de la victime comme une conséquence possible de son acte et qu'il l'avait acceptée. Le dol éventuel suffit pour retenir l'intention, de sorte qu'il n'est pas nécessaire d'examiner si le recourant et ses comparses ont agi par dessein (l'auteur prévoit les conséquences de son acte et cherche précisément à les produire) ou par dol simple (l'auteur voit le résultat comme conséquence certaine de son acte et s'en accommode) (cf. consid. 2 ci-dessous). Il s'ensuit que les griefs liés au but poursuivi par le recourant et ses comparses sont sans pertinence.</w:t>
      </w:r>
    </w:p>
    <w:p>
      <w:r>
        <w:rPr>
          <w:b/>
        </w:rPr>
        <w:t>E. 2</w:t>
      </w:r>
    </w:p>
    <w:p>
      <w:r>
        <w:t>Le recourant conteste sa condamnation pour tentative d'assassinat par dol éventuel sur la personne de J.________. Selon lui, il aurait dû être condamné pour lésions corporelles graves ( art. 122 CP ).</w:t>
      </w:r>
    </w:p>
    <w:p>
      <w:r>
        <w:rPr>
          <w:b/>
        </w:rPr>
        <w:t>E. 2.1</w:t>
      </w:r>
    </w:p>
    <w:p>
      <w:r>
        <w:t>En l'espèce, le comportement du recourant et de ses comparses n'a pas causé la mort de la victime, de sorte qu'il faut examiner si, sur le plan subjectif, ils voulaient ou acceptaient celle-ci ou si leur intention se limitait à causer des lésions corporelles graves. Dans le premier cas, il faut retenir une tentative de meurtre ou d'assassinat, qui absorbe les lésions corporelles simples ou graves (cf. ATF 137 IV 113 consid. 1.4 et 1.5), alors que, dans le second cas, seules les lésions corporelles doivent être admises (art. 122 s. CP).</w:t>
      </w:r>
    </w:p>
    <w:p>
      <w:r>
        <w:rPr>
          <w:b/>
        </w:rPr>
        <w:t>E. 2.2</w:t>
      </w:r>
    </w:p>
    <w:p>
      <w:r>
        <w:t>Selon l' art. 12 al. 2 CP ,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2e phrase CP; ATF 135 IV 152 consid. 2.3.2 p. 156).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 ATF 134 IV 26 consid. 3.2.2 p 28 s.; 133 IV 9 consid. 4.1 p. 16 s.). Déterminer ce qu'une personne a su, envisagé, voulu ou accepté relève des constatations de faits, qui lient la Cour de droit pénal, à moins que celles-ci n'aient été établies de façon manifestement inexacte ( ATF 135 IV 152 consid. 2.3.2 p. 156).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(cf. ATF 125 IV 242 consid. 3c p. 252; 121 IV 249 consid. 3a/aa p. 253).</w:t>
      </w:r>
    </w:p>
    <w:p>
      <w:r>
        <w:rPr>
          <w:b/>
        </w:rPr>
        <w:t>E. 2.3</w:t>
      </w:r>
    </w:p>
    <w:p>
      <w:r>
        <w:t>Contrairement à ce que soutient le recourant, il ne faut pas se fonder sur les blessures effectivement subies par la victime, mais sur la dangerosité du comportement des prévenus pour évaluer la probabilité de la réalisation du risque de mort. En l'espèce, les prévenus, agissant en nombre et de concert, ont tendu un guet-apens à J.________ et, après avoir encerclé la victime, lui ont porté des coups avec des armes blanches, parfois de très grande taille, sur le haut du corps et sur la tête. Or, celui qui tape sur la tête d'un tiers avec un couteau de grande taille doit s'attendre à porter à ce dernier une blessure mortelle. Les experts ont ainsi souligné que si les coups avaient été portés plus haut sur le crâne de la victime et plus fort ou encore avec la même force mais au niveau des tempes, cela aurait pu entraîner des conséquences plus graves (arrêt attaqué, p. 73). Le risque de blessure mortelle est encore augmenté par le nombre des agresseurs et la confusion qui peut s'ensuivre. Ainsi, compte tenu du nombre des agresseurs, de la nature des armes utilisées et du fait que les coups ont été portés sur le haut du corps, y compris la tête, le recourant devait se représenter une issue mortelle comme possible et ne pouvait que l'accepter. L'intention sous la forme du dol éventuel est ainsi déjà réalisée, sans qu'il soit nécessaire d'examiner si le recourant et ses coprévenus ont voulu tuer J.________, hypothèse qui relèverait du dol simple, voire du dessein (cf. arrêt attaqué, p. 82). En conclusion, il n'y a pas lieu de retenir que l'intention a uniquement porté sur des lésions corporelles.</w:t>
      </w:r>
    </w:p>
    <w:p>
      <w:r>
        <w:rPr>
          <w:b/>
        </w:rPr>
        <w:t>E. 3</w:t>
      </w:r>
    </w:p>
    <w:p>
      <w:r>
        <w:t>Le recourant conteste la qualification d'assassinat. 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3.1.1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3ème éd., 2010, no 8 ad art. 112 CP ). Le but - qui se recoupe en grande partie avec le mobile - est particulièrement odieux lorsque l'auteur agit pour éliminer un témoin gênant ou une personne qui l'entrave dans la commission d'une infraction ( CORBOZ, op. cit., no 9 ss ad art. 112 CP ). Quant à la façon d'agir , elle est particulièrement odieuse lorsqu'elle est barbare ou atroce ou lorsque l'auteur a exploité avec perfidie la confiance de la victime ( CORBOZ, op. cit., no 13 ss ad art. 112 CP ).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7ème éd., Berne 2010, n° 25 ad § 1). Par la froideur dans l'exécution et la maîtrise de soi, l'auteur manifestera également le plus complet mépris de la vie d'autrui ( STRATENWERTH/JENNY/BOMMER, ibidem; MICHEL DUPUIS ET AL., Petit commentaire du Code pénal, 2ème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3.1.2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3.2</w:t>
      </w:r>
    </w:p>
    <w:p>
      <w:r>
        <w:t>Les mobiles n'ont certes pas pu être établis avec précision pour chacun des agresseurs. Dans tous les cas, il s'agit toutefois d'un règlement de compte, avec un arrière fond de vengeance. La cour cantonale a mentionné que J.________ se serait approprié du haschich appartenant à O.________ et aurait conservé à son profit les 1600 fr. obtenus en le vendant ou qu'il aurait refusé d'intégrer une bande spécialisée dans la commission de diverses infractions; il est aussi fait allusion à d'anciennes querelles pouvant remonter à l'époque où les intéressés auraient vécu en Algérie. Pour donner une leçon à la victime, le recourant et ses comparses lui ont tendu un guet-apens, pour exercer sur elle des actes de violence. Cette opération a été planifiée et organisée à l'avance: les agresseurs se sont répartis les rôles, certains étant chargés de faire des repérages, d'autres de poursuivre la victime et d'autres enfin de lui barrer la route, pour pouvoir la frapper avec des armes blanches. Ils n'ont pas agi soudainement sous l'effet de l'émotion, mais de manière lucide, froide et déterminée, en venant en nombre avec des armes. En participant à cette opération, le recourant a fait preuve d'un total mépris de la vie d'autrui. Les excuses et les regrets qu'il a pu exprimer ne concernent pas la commission de l'acte (consid. 1.4) et ne sauraient en conséquence être pris en considération pour apprécier le caractère particulièrement répréhensible de l'acte. En conclusion, la cour cantonale n'a pas violé le droit fédéral en retenant une tentative d'assassinat par dol éventuel. Les griefs soulevés doivent donc être rejetés.</w:t>
      </w:r>
    </w:p>
    <w:p>
      <w:r>
        <w:rPr>
          <w:b/>
        </w:rPr>
        <w:t>E. 4</w:t>
      </w:r>
    </w:p>
    <w:p>
      <w:r>
        <w:t>Condamné à une peine privative de liberté de six ans, le recourant conteste la mesure de la peine. Il sollicite en outre l'octroi du sursis partiel.</w:t>
      </w:r>
    </w:p>
    <w:p>
      <w:r>
        <w:rPr>
          <w:b/>
        </w:rPr>
        <w:t>E. 4.1.1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129 IV 6 consid. 6.1 et les références citées).</w:t>
      </w:r>
    </w:p>
    <w:p>
      <w:r>
        <w:rPr>
          <w:b/>
        </w:rPr>
        <w:t>E. 4.1.2</w:t>
      </w:r>
    </w:p>
    <w:p>
      <w:r>
        <w:t>Selon l' art. 43 CP , le juge peut suspendre partiellement l'exécution d'une peine privative de liberté d'un an au moins et de trois ans au plus.</w:t>
      </w:r>
    </w:p>
    <w:p>
      <w:r>
        <w:rPr>
          <w:b/>
        </w:rPr>
        <w:t>E. 4.2</w:t>
      </w:r>
    </w:p>
    <w:p>
      <w:r>
        <w:t>La cour cantonale a qualifié la faute du recourant de très grave, dans la mesure où il a attenté à la vie d'autrui (arrêt attaqué p. 89). Elle a aggravé la peine dans une modeste proportion en raison d'un concours avec le séjour illégal. A décharge du recourant, elle a tenu compte de sa volonté de collaborer à la procédure et surtout du fait qu'il était le seul à avoir admis sa participation à l'agression, ainsi que des regrets qu'il a exprimés et qui paraissaient sincères (arrêt attaqué p. 90). De la sorte, la cour cantonale a motivé de manière détaillée et complète la peine. Le recourant n'invoque du reste aucun élément, propre à modifier la peine, qu'elle aurait omis ou pris en considération à tort. Au vu de ces circonstances, la peine privative de liberté de six ans est appropriée. Le grief de violation de l' art. 47 CP est dès lors infondé. Compte tenu de la durée de la peine infligée, le sursis partiel, qui s'applique aux peines privatives de liberté de trois ans au plus, n'entre pas en ligne de compte. Le grief tiré de la violation de l' art. 43 CP doit donc être rejeté.</w:t>
      </w:r>
    </w:p>
    <w:p>
      <w:r>
        <w:rPr>
          <w:b/>
        </w:rPr>
        <w:t>E. 5</w:t>
      </w:r>
    </w:p>
    <w:p>
      <w:r>
        <w:t>Le recourant sollicite une indemnité pour détention injustifiée. L' 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l'espèce, le recourant est détenu depuis le 19 septembre 2011. Vu la durée de la peine privative de liberté qui lui est infligée, cette disposition n'est pas applicable.</w:t>
      </w:r>
    </w:p>
    <w:p>
      <w:r>
        <w:rPr>
          <w:b/>
        </w:rPr>
        <w:t>E. 6</w:t>
      </w:r>
    </w:p>
    <w:p>
      <w:r>
        <w:t>Le recourant sollicite l'application de l' art. 67 LTF . Selon cette disposition, le Tribunal fédéral peut répartir autrement les frais de la procédure antérieure s'il modifie la décision attaquée. Dans la mesure où le recours est rejeté et l'arrêt attaqué confirmé, cette disposition est sans portée.</w:t>
      </w:r>
    </w:p>
    <w:p>
      <w:r>
        <w:rPr>
          <w:b/>
        </w:rPr>
        <w:t>E. 7</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