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6B_1086/2017 vom 3. Oktober 2017</w:t>
      </w:r>
    </w:p>
    <w:p>
      <w:r>
        <w:t>Bundesgericht, 2017-10-03, DE</w:t>
      </w:r>
    </w:p>
    <w:p>
      <w:r>
        <w:rPr>
          <w:b/>
        </w:rPr>
        <w:t xml:space="preserve">Quelle: </w:t>
      </w:r>
      <w:r>
        <w:t>https://mcp.opencaselaw.ch/entscheid/bger_6B_1086_2017</w:t>
      </w:r>
    </w:p>
    <w:p>
      <w:r>
        <w:t>FR: TF 6B_1086/2017 du 3 octobre 2017</w:t>
      </w:r>
    </w:p>
    <w:p>
      <w:r>
        <w:t>IT: TF 6B_1086/2017 del 3 ottobre 2017</w:t>
      </w:r>
    </w:p>
    <w:p>
      <w:pPr>
        <w:pStyle w:val="Heading2"/>
      </w:pPr>
      <w:r>
        <w:t>Erwägungen</w:t>
      </w:r>
    </w:p>
    <w:p>
      <w:r>
        <w:rPr>
          <w:b/>
        </w:rPr>
        <w:t>E. 1</w:t>
      </w:r>
    </w:p>
    <w:p>
      <w:r>
        <w:t>Das Obergericht des Kantons Solothurn, Beschwerdekammer, trat mit Beschluss vom 25. April 2017 auf eine Beschwerde gegen eine Überweisungsverfügung der Staatsanwaltschaft nicht ein. Die Verfahrenskosten wurden auf Fr. 150.-- festgesetzt und das Gesuch um unentgeltliche Rechtspflege abgewiesen.</w:t>
      </w:r>
    </w:p>
    <w:p>
      <w:r>
        <w:t>Am 23. Juni 2017 ersuchte der Beschwerdeführer um Erlass der Verfahrenskosten, was das Obergericht des Kantons Solothurn, Beschwerdekammer, mit Verfügung vom 28. Juni 2017 abwies.</w:t>
      </w:r>
    </w:p>
    <w:p>
      <w:r>
        <w:t>Der Beschwerdeführer wendet sich mit Eingabe vom 19. September 2017 (Poststempel) an das Bundesgericht.</w:t>
      </w:r>
    </w:p>
    <w:p>
      <w:r>
        <w:rPr>
          <w:b/>
        </w:rPr>
        <w:t>E. 2</w:t>
      </w:r>
    </w:p>
    <w:p>
      <w:r>
        <w:t>Die Frist zur Einreichung der Beschwerde beim Bundesgericht beträgt 30 Tage nach der Eröffnung des angefochtenen Entscheids ( Art. 100 Abs. 1 BGG ). Der Beschwerdeführer hat die angefochtene Verfügung am 10. Juli 2017 erhalten. Die 30-tägige Beschwerdefrist begann am 11. Juli 2017 zu laufen und endete unter Berücksichtigung von Art. 46 Abs. 1 lit. b BGG und Art. 45 Abs. 1 BGG am 11. September 2017. Die Beschwerde vom 19. September 2017 ist somit verspätet erhoben worden. Es bleibt zu prüfen, ob dem vom Beschwerdeführer gestellten Fristwiederherstellungsgesuch entsprochen werden kann.</w:t>
      </w:r>
    </w:p>
    <w:p>
      <w:r>
        <w:rPr>
          <w:b/>
        </w:rPr>
        <w:t>E. 3</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t>Der Beschwerdeführer beruft sich auf "massive Herzbeschwerden", eine völlige Überlastung, einen riesigen Stress sowie eine missliche Wohnsituation. Sein Leben sei ein einziges Elend und Martyrium (vgl. Eingabe, S. 2 sowie S. 6-9). Damit legt er indessen nicht dar, weshalb er während der Beschwerdefrist objektiv gesehen nicht in der Lage gewesen sein soll, selber oder durch eine Drittperson fristgerecht eine Beschwerde zumindest mit minimaler Begründung einzureichen. Die von ihm auszugsweise beigelegten ärztlichen Zeugnisse bzw. IV-Gutachten datieren aus den Jahren 2013 bzw. 2011 und vermögen nicht zu belegen, dass eine fristgerechte Beschwerdeführung nicht möglich gewesen sein soll. Gründe, welche Hand für eine Fristwiederherstellung bieten könnten, sind somit weder dargetan noch ersichtlich. Das Fristwiederherstellungsgesuch ist abzuweisen. Auf die verspätet eingereichte Beschwerde ist im Verfahren nach Art. 108 BGG nicht einzutreten.</w:t>
      </w:r>
    </w:p>
    <w:p>
      <w:r>
        <w:t>Im Übrigen wäre auf die Beschwerde auch deshalb nicht einzutreten, weil sie den Begründungsanforderungen von Art. 42 Abs. 2 und Art. 106 Abs. 2 BGG nicht entspricht. Aus ihr ergibt sich nicht, inwiefern die angefochtene Verfügung willkürlich, sonstwie verfassungswidrig oder ermessensfehlerhaft sein könnte.</w:t>
      </w:r>
    </w:p>
    <w:p>
      <w:r>
        <w:t>Das Gesuch um aufschiebende Wirkung wird mit dem Entscheid in der Sache gegenstandslos.</w:t>
      </w:r>
    </w:p>
    <w:p>
      <w:r>
        <w:rPr>
          <w:b/>
        </w:rPr>
        <w:t>E. 4</w:t>
      </w:r>
    </w:p>
    <w:p>
      <w:r>
        <w:t>Ausnahmsweise kann auf eine Kostenauflage verzichtet werden.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