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6B_1080/2022 vom 19. Dezember 2022</w:t>
      </w:r>
    </w:p>
    <w:p>
      <w:r>
        <w:t>Bundesgericht, 2022-12-19, FR</w:t>
      </w:r>
    </w:p>
    <w:p>
      <w:r>
        <w:rPr>
          <w:b/>
        </w:rPr>
        <w:t xml:space="preserve">Quelle: </w:t>
      </w:r>
      <w:r>
        <w:t>https://mcp.opencaselaw.ch/entscheid/bger_6B_1080_2022</w:t>
      </w:r>
    </w:p>
    <w:p>
      <w:r>
        <w:t>FR: TF 6B_1080/2022 du 19 décembre 2022</w:t>
      </w:r>
    </w:p>
    <w:p>
      <w:r>
        <w:t>IT: TF 6B_1080/2022 del 19 dicembre 2022</w:t>
      </w:r>
    </w:p>
    <w:p>
      <w:pPr>
        <w:pStyle w:val="Heading2"/>
      </w:pPr>
      <w:r>
        <w:t>Erwägungen</w:t>
      </w:r>
    </w:p>
    <w:p>
      <w:r>
        <w:rPr>
          <w:b/>
        </w:rPr>
        <w:t>E. 1</w:t>
      </w:r>
    </w:p>
    <w:p>
      <w:r>
        <w:t>Par arrêt du 18 juillet 2022, la Chambre pénale du Tribunal cantonal de l'État de Fribourg a rejeté le recours formé par A.________ et B.________ contre l'ordonnance du 24 août 2021 par laquelle le Ministère public fribourgeois a classé la procédure diligentée contre C.________ et D.________ pour faux dans les titres et escroquerie. En substance, elle a considéré que l'infraction d'escroquerie n'était pas réalisée, faute d'astuce et d'intention, tout comme l'infraction de faux dans les titres, faute d'intention.</w:t>
      </w:r>
    </w:p>
    <w:p>
      <w:r>
        <w:rPr>
          <w:b/>
        </w:rPr>
        <w:t>E. 2</w:t>
      </w:r>
    </w:p>
    <w:p>
      <w:r>
        <w:t>A.________ et B.________ forment un recours en matière pénale au Tribunal fédéral contre l'arrêt du 18 juillet 2022. En substance, ils concluent principalement, avec suite de frais et dépens, à l'annulation de l'arrêt attaqué et à ce que le ministère public soit invité à prononcer une ordonnance de condamnation contre C.________ et D.________, ou qu'ils soient renvoyés en jugement. Subsidiairement, toujours avec suite de frais et dépens, ils concluent à l'annulation de l'arrêt attaqué et au renvoi de la cause à l'autorité précédente pour nouvelle décision dans le sens des considérants.</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En l'occurrence, les recourants ne soulèvent aucun grief en ce sens.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 art. 119 al. 2 let. b CPP ), il n'en reste pas moins que le procureur qui refuse d'entrer en matière ou prononce un classement n'a pas à statuer sur l'aspect civil (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Lorsque la partie plaignante se plaint d'infractions distinctes, elle doit mentionner, par rapport à chacune d'elles, en quoi consiste son dommage (arrêt 6B_416/2021 du 28 septembre 2021 consid. 2.1).</w:t>
      </w:r>
    </w:p>
    <w:p>
      <w:r>
        <w:rPr>
          <w:b/>
        </w:rPr>
        <w:t>E. 3.2</w:t>
      </w:r>
    </w:p>
    <w:p>
      <w:r>
        <w:t>Les recourants ne consacrent aucun développement à leur éventuel dommage ou tort moral, ni sur leur principe, ni sur leur quotité, que ce soit en lien avec l'infraction d'escroquerie ou de faux dans les titres. En particulier, il n'est pas possible de savoir s'ils ont effectivement subi un dommage, qui pourrait consister en un prix d'achat trop élevé de la villa sise à U.________ dû au certificat énergétique cantonal des bâtiments erronés, ou s'ils ont d'ores et déjà ouvert action devant une autorité judiciaire civile, ce qui exclurait qu'ils puissent faire valoir cumulativement leurs prétentions par voie de jonction auprès du juge pénal (arrêt 6B_613/2022 du 10 août 2022 consid. 5). À tout le moins, la seule nature des infractions alléguées ne permet pas de le déduire sans ambiguïté. L'absence d'explications sur la question des prétentions civiles exclut leur qualité pour recourir sur le fond de la cause.</w:t>
      </w:r>
    </w:p>
    <w:p>
      <w:r>
        <w:t>2.</w:t>
      </w:r>
    </w:p>
    <w:p>
      <w:r>
        <w:t>L'hypothèse visée à l'art. 81 al. 1 let. b ch. 6 LTF n'entre pas en considération, les recourants ne soulevant aucun grief quant à leur droit de porter plainte.</w:t>
      </w:r>
    </w:p>
    <w:p>
      <w:r>
        <w:rPr>
          <w:b/>
        </w:rPr>
        <w:t>E. 4</w:t>
      </w:r>
    </w:p>
    <w:p>
      <w:r>
        <w:t>Faute de satisfaire aux conditions de recevabilité d'un recours en matière pénale au Tribunal fédéral ( art. 42 al. 1 et 2 LTF ), le recours doit être écarté en application de l' art. 108 al. 1 let. a et b LTF . Les recourants supportent conjointement, solidairement et à parts égales, les frais de la procédure (art. 65 al. 2 et 66 al. 1 et 5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