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6B_1078/2019 vom 30. September 2019</w:t>
      </w:r>
    </w:p>
    <w:p>
      <w:r>
        <w:t>Bundesgericht, 2019-09-30, FR</w:t>
      </w:r>
    </w:p>
    <w:p>
      <w:r>
        <w:rPr>
          <w:b/>
        </w:rPr>
        <w:t xml:space="preserve">Quelle: </w:t>
      </w:r>
      <w:r>
        <w:t>https://mcp.opencaselaw.ch/entscheid/bger_6B_1078_2019</w:t>
      </w:r>
    </w:p>
    <w:p>
      <w:r>
        <w:t>FR: TF 6B_1078/2019 du 30 septembre 2019</w:t>
      </w:r>
    </w:p>
    <w:p>
      <w:r>
        <w:t>IT: TF 6B_1078/2019 del 30 settembre 2019</w:t>
      </w:r>
    </w:p>
    <w:p>
      <w:pPr>
        <w:pStyle w:val="Heading2"/>
      </w:pPr>
      <w:r>
        <w:t>Erwägungen</w:t>
      </w:r>
    </w:p>
    <w:p>
      <w:r>
        <w:rPr>
          <w:b/>
        </w:rPr>
        <w:t>E. 1</w:t>
      </w:r>
    </w:p>
    <w:p>
      <w:r>
        <w:t>Par arrêt du 13 août 2019, la Chambre des recours pénale du Tribunal cantonal vaudois a rejeté le recours formé par A.________ à l'encontre de l'ordonnance de non-entrée en matière du Ministère public de l'arrondissement du Nord vaudois du 18 juin 2019, qu'elle a confirmée.</w:t>
      </w:r>
    </w:p>
    <w:p>
      <w:r>
        <w:t>La Chambre des recours a considéré, en substance, que l'ordonnance querellée, rendue à la suite d'une plainte pénale déposée par A.________ contre deux médecins en rapport avec l'examen de son aptitude à la conduite automobile, ne prêtait pas le flanc à la critique. En bref, ses accusations, confuses et peu compréhensibles, au demeurant non étayées, ne révélaient aucun comportement pouvant être considéré comme constitutif d'une infraction pénale.</w:t>
      </w:r>
    </w:p>
    <w:p>
      <w:r>
        <w:t>A.________ forme un recours en matière pénale contre l'arrêt précité. Il sollicite une confrontation et la tenue d'une audience devant le Tribunal fédéral. Il sollicite également l'octroi de l'assistance judiciaire.</w:t>
      </w:r>
    </w:p>
    <w:p>
      <w:r>
        <w:rPr>
          <w:b/>
        </w:rPr>
        <w:t>E. 2</w:t>
      </w:r>
    </w:p>
    <w:p>
      <w:r>
        <w:t>Il n'y a pas lieu de donner suite à la requête du recourant tendant à la mise sur pied d'une confrontation - le recourant ne précise pas qui elle devrait concerner - ou à la tenue d'une audience devant la cour de céans, les conditions exceptionnelles pour prononcer une mesure probatoire devant le Tribunal fédéral (cf. art. 55 LTF ; ATF 136 II 101 consid. 2 p. 104) n'étant manifestement pas réunies.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w:t>
      </w:r>
    </w:p>
    <w:p>
      <w:r>
        <w:t>En outre, 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n'expose pas à satisfaction de droit les prétentions qu'il s'estime en mesure de faire valoir par voie d'adhésion dans la procédure pénale. Sa qualité pour recourir en matière pénale sous l'angle de l'art. 81 al. 1 let. a et b ch. 5 LTF n'est pas établie. Il n'apparaît pas non plus que le recourant invoque la violation de son droit à la plainte (art. 81 al. 1 let. a et b ch. 6 LTF). Quant à l'hypothèse du grief susceptible d'être appréhendé comme l'allégation d'une atteinte à un droit procédural entièrement séparé du fond (cf. ATF 141 IV 1 consid. 1.1 p. 5; 136 IV 29 consid. 1.9 p. 40 et les références citées), le recourant se borne à faire valoir que son droit d'être entendu a été violé, sans exposer de manière claire et détaillée en quoi consisterait cette violation. Au surplus, le recourant se contente pour l'essentiel, sur le fond, de porter des accusations contre les médecins qu'il visait dans sa plainte, en évoquant un complot fomenté par deux menteurs. On cherche toutefois en vain, dans son recours, une quelconque critique topique formulée à l'encontre des considérants de l'arrêt attaqué. On ne discerne pas en quoi celui-ci violerait le droit. Le recourant échoue par conséquent à établir sa qualité pour recourir devant le Tribunal fédéral. Ses griefs ne satisfont pas aux exigences de motivation découlant des art. 42 al. 2 et 106 al. 2 LTF. Son recours est au demeurant dépourvu de conclusions.</w:t>
      </w:r>
    </w:p>
    <w:p>
      <w:r>
        <w:rPr>
          <w:b/>
        </w:rPr>
        <w:t>E. 4</w:t>
      </w:r>
    </w:p>
    <w:p>
      <w:r>
        <w:t>Au vu de ce qui précède, le recours doit être écarté dans la procédure prévue par l' art. 108 let. a et b LTF . Il était dépourvu de chances de succès, de sorte que l'assistance judiciaire doit être refusée (art. 64 al. 1 et al. 3 deuxième phrase LTF). Le recourant supporte les frais de la procédure, qui seront fixés en tenant compte de sa situation financière, qui n'apparaît pas favorable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