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6B_1077/2019 vom 30. September 2019</w:t>
      </w:r>
    </w:p>
    <w:p>
      <w:r>
        <w:t>Bundesgericht, 2019-09-30, FR</w:t>
      </w:r>
    </w:p>
    <w:p>
      <w:r>
        <w:rPr>
          <w:b/>
        </w:rPr>
        <w:t xml:space="preserve">Quelle: </w:t>
      </w:r>
      <w:r>
        <w:t>https://mcp.opencaselaw.ch/entscheid/bger_6B_1077_2019</w:t>
      </w:r>
    </w:p>
    <w:p>
      <w:r>
        <w:t>FR: TF 6B_1077/2019 du 30 septembre 2019</w:t>
      </w:r>
    </w:p>
    <w:p>
      <w:r>
        <w:t>IT: TF 6B_1077/2019 del 30 settembre 2019</w:t>
      </w:r>
    </w:p>
    <w:p>
      <w:pPr>
        <w:pStyle w:val="Heading2"/>
      </w:pPr>
      <w:r>
        <w:t>Erwägungen</w:t>
      </w:r>
    </w:p>
    <w:p>
      <w:r>
        <w:rPr>
          <w:b/>
        </w:rPr>
        <w:t>E. 1</w:t>
      </w:r>
    </w:p>
    <w:p>
      <w:r>
        <w:t>Par ordonnance du 5 février 2019, le Ministère public vaudois a classé la procédure pénale ouverte contre X.________ - pour lésions corporelles simples qualifiées, injure, menaces qualifiées et viol - ensuite de la plainte déposée par A.________.</w:t>
      </w:r>
    </w:p>
    <w:p>
      <w:r>
        <w:t>Par arrêt du 12 août 2019, la Chambre des recours pénale du Tribunal cantonal du canton de Vaud a rejeté le recours formé par A.________ contre l'ordonnance du 5 février 2019 et a confirmé celle-ci.</w:t>
      </w:r>
    </w:p>
    <w:p>
      <w:r>
        <w:t>A.________ forme un recours en matière pénale au Tribunal fédéral contre l'arrêt du 12 août 2019.</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Lorsque la partie plaignante se plaint d'infractions distinctes, elle doit mentionner, par rapport à chacune d'elles, en quoi consiste son dommage (arrêts 6B_959/2019 du 17 septembre 2019 consid. 2.1; 6B_810/2019 du 22 juillet 2019 consid. 1.1).</w:t>
      </w:r>
    </w:p>
    <w:p>
      <w:r>
        <w:rPr>
          <w:b/>
        </w:rPr>
        <w:t>E. 2.2</w:t>
      </w:r>
    </w:p>
    <w:p>
      <w:r>
        <w:t>En l'espèce, la recourante ne précise aucunement quelles conclusions civiles pourraient - dans leur principe et leur quotité - être déduites des diverses infractions dont elle se plaint. A défaut d'explications en la matière, elle ne dispose pas de la qualité pour recourir sur le fond de la cause au sens de l'art. 81 al. 1 let. b ch. 5 LTF.</w:t>
      </w:r>
    </w:p>
    <w:p>
      <w:r>
        <w:rPr>
          <w:b/>
        </w:rPr>
        <w:t>E. 2.3</w:t>
      </w:r>
    </w:p>
    <w:p>
      <w:r>
        <w:t>L'hypothèse visée à l'art. 81 al. 1 let. b ch. 6 LTF n'entre pas en considération, la recourante ne soulevant aucun grief quant à son droit de porter plainte.</w:t>
      </w:r>
    </w:p>
    <w:p>
      <w:r>
        <w:rPr>
          <w:b/>
        </w:rPr>
        <w:t>E. 2.4</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 et les références citées).</w:t>
      </w:r>
    </w:p>
    <w:p>
      <w:r>
        <w:t>En l'occurrence, la recourante reproche à la cour cantonale de ne pas avoir suffisamment instruit la cause. Ses développements à cet égard ne visent qu'à démontrer en quoi les mesures d'instruction souhaitées auraient été nécessaires afin d'établir ses accusations. L'intéressée ne fait ainsi valoir aucun moyen qui peut être séparé du fond et son grief ne saurait fonder sa qualité pour recourir au Tribunal fédéral.</w:t>
      </w:r>
    </w:p>
    <w:p>
      <w:r>
        <w:rPr>
          <w:b/>
        </w:rPr>
        <w:t>E. 3</w:t>
      </w:r>
    </w:p>
    <w:p>
      <w:r>
        <w:t>Au demeurant, c'est en vain que l'on cherche, dans le mémoire de recours de la recourante, un grief topique, répondant aux exigences de motivation découlant des art. 42 al. 2 et 106 al. 2 LTF, propre à démontrer que l'autorité précédente aurait pu violer le droit. L'intéressée se livre ainsi à une critique purement appellatoire de la décision attaquée, sans démontrer en quoi la cour cantonale aurait pu sombrer dans l'arbitraire (cf. art. 97 al. 1 LTF ).</w:t>
      </w:r>
    </w:p>
    <w:p>
      <w:r>
        <w:rPr>
          <w:b/>
        </w:rPr>
        <w:t>E. 4</w:t>
      </w:r>
    </w:p>
    <w:p>
      <w:r>
        <w:t>Sur le vu de ce qui précède, le recours doit être déclaré irrecevable selon la procédure simplifiée prévue par l' art. 108 al. 1 let. a et b LTF . La recourante, qui succombe, supporte les frais judiciaires ( art. 66 al. 1 LTF ). L'intimé,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