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6B_1076/2014 vom 7. Oktober 2015</w:t>
      </w:r>
    </w:p>
    <w:p>
      <w:r>
        <w:t>Bundesgericht, 2015-10-07, FR</w:t>
      </w:r>
    </w:p>
    <w:p>
      <w:r>
        <w:rPr>
          <w:b/>
        </w:rPr>
        <w:t xml:space="preserve">Quelle: </w:t>
      </w:r>
      <w:r>
        <w:t>https://mcp.opencaselaw.ch/entscheid/bger_6B_1076_2014</w:t>
      </w:r>
    </w:p>
    <w:p>
      <w:r>
        <w:t>FR: TF 6B_1076/2014 du 7 octobre 2015</w:t>
      </w:r>
    </w:p>
    <w:p>
      <w:r>
        <w:t>IT: TF 6B_1076/2014 del 7 ottobre 2015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w:t>
      </w:r>
    </w:p>
    <w:p>
      <w:r>
        <w:rPr>
          <w:b/>
        </w:rPr>
        <w:t>E. 1.2</w:t>
      </w:r>
    </w:p>
    <w:p>
      <w:r>
        <w:t>Le recourant indique vouloir obtenir la réparation du préjudice subi du fait des infractions qu'il allègue. Ce dommage serait constitué de ses frais d'avocat et de la différence entre le prix d'achat des objets, à savoir 120'000 fr. à teneur de l'acte de vente, et la valeur effective desdits objets, soit environ 30'000 fr. selon l'expertise produite au dossier.</w:t>
      </w:r>
    </w:p>
    <w:p>
      <w:r>
        <w:t>Les frais d'avocat ne découlent pas directement des infractions en cause et ne constituent donc pas des prétentions civiles au sens de l'art. 81 al. 1 let. a et b ch. 5 LTF. Admettre un droit de recours à raison de telles prétentions permettrait de contourner systématiquement cette disposition en admettant la qualité pour recourir indépendamment des prétentions de fond que la partie plaignante entend élever (cf. arrêt 6B_768/2013 du 12 novembre 2013 consid. 1.3).</w:t>
      </w:r>
    </w:p>
    <w:p>
      <w:r>
        <w:t>Invoquant avoir été spolié de la différence entre le prix d'achat des objets et leur valeur effective, le recourant allègue son dommage de façon suffisante. Il n'est, par ailleurs, pas contestable que le refus d'entrer en matière serait de nature à influencer négativement le jugement de ses conclusions civiles. Le recourant remplit ainsi les exigences jurisprudentielles permettant de lui reconnaître la qualité pour recourir en application de l'art. 81 al. 1 let. a et b ch. 5 LTF.</w:t>
      </w:r>
    </w:p>
    <w:p>
      <w:r>
        <w:rPr>
          <w:b/>
        </w:rPr>
        <w:t>E. 2</w:t>
      </w:r>
    </w:p>
    <w:p>
      <w:r>
        <w:t>Soutenant que la réalisation des éléments constitutifs de l'escroquerie ( art. 146 CP ), voire de l'usure ( art. 157 CP ) ne paraissait pas d'emblée exclue, le recourant invoque une violation de l'adage</w:t>
      </w:r>
    </w:p>
    <w:p>
      <w:r>
        <w:t>in dubio pro duriore et des art. 6 al. 1, 7 al. 1 et 139 al. 1 CPP. Ces griefs se confondent avec la violation de l' art. 310 al. 1 let. a CPP , également soulevée par le recourant, dans la mesure où celui-ci conteste la décision de non-entrée en matière quant au fond en critiquant l'absence d'instruction qui en est résultée.</w:t>
      </w:r>
    </w:p>
    <w:p>
      <w:r>
        <w:rPr>
          <w:b/>
        </w:rPr>
        <w:t>E. 2.1</w:t>
      </w:r>
    </w:p>
    <w:p>
      <w:r>
        <w:t>L' art. 146 CP exige une tromperie astucieuse. Une simple tromperie ne suffit donc pas.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w:t>
      </w:r>
    </w:p>
    <w:p>
      <w:r>
        <w:t>in dubio pro duriore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2.2</w:t>
      </w:r>
    </w:p>
    <w:p>
      <w:r>
        <w:t>La cour cantonale a retenu que, même à supposer l'existence d'une tromperie de la part de l'intimée, celle-ci ne saurait être considérée comme astucieuse au sens de l' art. 146 CP dès lors que les affirmations prétendument erronées de Y.________ relatives aux objets vendus auraient facilement pu être vérifiées.</w:t>
      </w:r>
    </w:p>
    <w:p>
      <w:r>
        <w:rPr>
          <w:b/>
        </w:rPr>
        <w:t>E. 2.3</w:t>
      </w:r>
    </w:p>
    <w:p>
      <w:r>
        <w:t>Le recourant soutient que l'intimée l'aurait dissuadé de vérifier ses propos mensongers en mettant en place un contexte dans lequel des contrôles paraissaient inutiles, hors de propos, insultants même. Il en veut pour preuve le titre de princesse revendiqué par l'intimée, les anecdotes de celle-ci sur ses contacts avec le roi d'Espagne, les photographies du roi affichées dans l'appartement, le livre d'art intitulé " xxx collection " placé en évidence sur la table du salon et les objets disposés en hauteur sur les étagères, hors de portée du recourant. En outre, l'acte de vente, à teneur duquel la dénomination de princesse était attribuée à l'intimée, avait été rédigé par un avocat d'une prestigieuse étude d'affaires genevoise et sa signature organisée avec le concours de ladite étude, de manière à accréditer le caractère sérieux et important de la transaction. Enfin, l'intéressé aurait tenté de visiter l'appartement en l'absence de l'intimée mais celle-ci s'y serait opposée, entrant même dans " une colère folle " à ce sujet.</w:t>
      </w:r>
    </w:p>
    <w:p>
      <w:r>
        <w:rPr>
          <w:b/>
        </w:rPr>
        <w:t>E. 2.4</w:t>
      </w:r>
    </w:p>
    <w:p>
      <w:r>
        <w:t>Eu égard au prix de la vente - 120'000 fr. - et aux caractéristiques attribuées aux objets - " antiques ", " provenant d'une collection royale " -, il incombait au recourant d'obtenir des garanties, telles que des certificats d'authenticité ou des expertises, comme cela est l'usage dans le marché de l'art. Cela vaut d'autant plus que le recourant ne se prévaut d'aucun rapport de confiance préexistant (cf. ATF 126 IV 165 consid. 2a p. 171). Ni le ravissement allégué de l'intéressé à l'idée de côtoyer une princesse proche du roi d'Espagne, ni son souci de la bienséance, ni même la disposition prétendumment stratégique des objets dans l'appartement ne le libéraient de son devoir minimum de prudence, comme l'a constaté à juste titre l'autorité précédente. Par ailleurs, sauf stipulation contraire, l'avocat mandaté par le co-contractant pour le représenter dans le cadre d'une vente, aussi renommé soit-il, n'est pas garant de l'équilibre du contrat. Enfin, le recourant constate lui-même qu'en s'opposant violemment à sa demande de visite de l'appartement, l'intimée avait réagi de manière suspecte, ce qui aurait plutôt dû l'inciter à effectuer des vérifications, au lieu de l'en dissuader. Une fois la vente exécutée, le recourant a d'ailleurs rassemblé nombre d'informations contredisant les propos qu'aurait tenus la vendeuse, confirmant ainsi que des vérifications auraient aisément pu être effectuées également avant la vente.</w:t>
      </w:r>
    </w:p>
    <w:p>
      <w:r>
        <w:t>Aussi apparaît-il, comme les autorités précédentes l'ont retenu, que le recourant n'a pas pris les mesures de prudence élémentaires qui auraient permis d'éviter l'erreur, ce qui exclut d'emblée l'astuce. Le recourant méconnaît la jurisprudence du Tribunal fédéral lorsqu'il affirme péremptoirement qu'il est " totalement arbitraire, choquant et inadmissible " de prétendre qu'on peut se déterminer sur l'élément de l'astuce sans instruction préalable (cf. par ex. arrêt 6B_351/2014 du 8 septembre 2014).</w:t>
      </w:r>
    </w:p>
    <w:p>
      <w:r>
        <w:rPr>
          <w:b/>
        </w:rPr>
        <w:t>E. 2.5</w:t>
      </w:r>
    </w:p>
    <w:p>
      <w:r>
        <w:t>Le recourant soutient pour la première fois que le comportement de Y.________ serait également constitutif d'usure au sens de l' art. 157 CP . Cette infraction consiste à obtenir ou à se faire promettre une contre-prestation disproportionnée en exploitant la faiblesse de l'autre partie ( ATF 111 IV 139 consid. 3a p. 140 s.). Les situations de faiblesse sont énumérées de manière exhaustive à l' art. 157 CP (gêne, dépendance, inexpérience et faiblesse de la capacité de jugement). L'état de gêne s'entend de tout état de contrainte qui influe si fort sur la liberté de décision de la personne lésée qu'elle est prête à fournir une prestation disproportionnée ( ATF 92 IV 132 consid. 2 p. 137).</w:t>
      </w:r>
    </w:p>
    <w:p>
      <w:r>
        <w:t>Le recourant affirme que l'intimée a exploité sa gêne dès lors qu'il était intimidé, impressionné et flatté par le statut royal de sa co-contractante. Ces allégations s'écartent des constatations de fait du jugement entrepris, qui ne retient rien de tel. Au demeurant, on ne voit pas que l'impression laissée par le titre de princesse, même auprès d'un homme âgé admiratif de la royauté, puisse suffire à constituer un état de contrainte au sens de l' art. 157 CP . Supposé recevable, le moyen soulevé serait de toute façon infondé.</w:t>
      </w:r>
    </w:p>
    <w:p>
      <w:r>
        <w:rPr>
          <w:b/>
        </w:rPr>
        <w:t>E. 2.6</w:t>
      </w:r>
    </w:p>
    <w:p>
      <w:r>
        <w:t>Le recourant ne fait ainsi valoir aucun élément susceptible de faire douter de l'absence de réalisation des infractions qu'il allègue. Faute d'une prévention pénale suffisante, on ne saurait reprocher à la cour cantonale de ne pas être entrée en matière et d'avoir considéré qu'il s'agissait d'un litige de nature civile (cf. ATF 137 IV 285 consid. 2.3 p. 287). La décision de non-entrée en matière n'étant pas critiquable, cela rend sans objet les conclusions du recourant relatives aux différents actes d'instruction qu'il requiert.</w:t>
      </w:r>
    </w:p>
    <w:p>
      <w:r>
        <w:rPr>
          <w:b/>
        </w:rPr>
        <w:t>E. 3</w:t>
      </w:r>
    </w:p>
    <w:p>
      <w:r>
        <w:t>Il résulte de ce qui précède que le recours doit être rejeté, dans la mesure de sa recevabilité,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