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106/2021 vom 29. November 2021</w:t>
      </w:r>
    </w:p>
    <w:p>
      <w:r>
        <w:t>Bundesgericht, 2021-11-29, FR</w:t>
      </w:r>
    </w:p>
    <w:p>
      <w:r>
        <w:rPr>
          <w:b/>
        </w:rPr>
        <w:t xml:space="preserve">Quelle: </w:t>
      </w:r>
      <w:r>
        <w:t>https://mcp.opencaselaw.ch/entscheid/bger_6B_106_2021</w:t>
      </w:r>
    </w:p>
    <w:p>
      <w:r>
        <w:t>FR: TF 6B 106/2021 du 29 novembre 2021</w:t>
      </w:r>
    </w:p>
    <w:p>
      <w:r>
        <w:t>IT: TF 6B 106/2021 del 29 novembre 2021</w:t>
      </w:r>
    </w:p>
    <w:p>
      <w:pPr>
        <w:pStyle w:val="Heading2"/>
      </w:pPr>
      <w:r>
        <w:t>Regeste</w:t>
      </w:r>
    </w:p>
    <w:p>
      <w:r>
        <w:t>Ordonnance de non-entrée en matière (abus d'autorité, etc.) | Procédure pénale</w:t>
      </w:r>
    </w:p>
    <w:p>
      <w:pPr>
        <w:pStyle w:val="Heading2"/>
      </w:pPr>
      <w:r>
        <w:t>Erwägungen</w:t>
      </w:r>
    </w:p>
    <w:p>
      <w:r>
        <w:rPr>
          <w:b/>
        </w:rPr>
        <w:t>E. 1</w:t>
      </w:r>
    </w:p>
    <w:p>
      <w:r>
        <w:t>Le Tribunal fédéral examine d'office ( art. 29 al. 1 LTF ) et librement la recevabilité des recours qui lui sont soumis ( ATF 146 IV 185 consid. 2 p. 188). En l'espèce, les éléments dont se prévaut le recourant permettent de comprendre qu'il se plaint d'actes susceptibles de tomber sous le coup des dispositions prohibant notamment les comportements dégradants (cf. art. 3 CEDH , 10 al. 3 Cst., 7 Pacte ONU II et Convention des Nations Unies contre la torture et autres peines ou traitements cruels, inhumains ou dégradants conclue à New York le 10 décembre 1984 [RS 0.105]). Il y a ainsi lieu d'admettre qu'il peut bénéficier d'un droit de recours sous cet angle (cf. ATF 138 IV 86 consid. 3.1.1 p. 88; cf. aussi récemment arrêt 6B_1199/2020 du 23 septembre 2021 consid. 1.4.1 et les arrêts cités). Il a également qualité pour recourir en tant qu'il se plaint aussi d'une violation de ses droits de partie équivalant à un déni de justice formel (cf. ATF 141 IV 1 consid. 1.1 p. 5 et les références citées).</w:t>
      </w:r>
    </w:p>
    <w:p>
      <w:r>
        <w:rPr>
          <w:b/>
        </w:rPr>
        <w:t>E. 2</w:t>
      </w:r>
    </w:p>
    <w:p>
      <w:r>
        <w:t>Sur ce dernier plan, le recourant invoque une violation de son droit d'être entendu et se plaint de ce qu'aucune suite n'a été donnée à ses requêtes tendant à être entendu par la cour cantonale et à pouvoir consulter le dossier, respectivement à en obtenir copie.</w:t>
      </w:r>
    </w:p>
    <w:p>
      <w:r>
        <w:rPr>
          <w:b/>
        </w:rPr>
        <w:t>E. 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p. 170 s.; 143 IV 380 consid. 1.1 p. 382; ATF 140 I 285 consid. 6.3.1 p. 298 s. et les arrêts cités), ou encore le droit de consulter le dossier ( ATF 144 I 11 consid. 5.3 p. 17; 144 II 427 consid. 3.1 p. 434; 132 II 485 consid. 3.2 p. 494). En revanche, selon la jurisprudence constante, le droit d'être entendu ne comprend celui de l'être oralement ( ATF 140 I 68 consid. 9.6.1 p. 76; 134 I 140 consid. 5.3 p. 148; 130 II 425 consid. 2.1 p. 428). Dans la procédure de recours régie par le code de procédure pénale, l' art. 397 al. 1 CPP prévoit expressément que le recours fait l'objet d'une procédure écrite. Si l'autorité de recours peut néanmoins, en vertu de l' art. 390 al. 5 CPP , ordonner des débats, d'office ou à la demande d'une partie, une telle démarche doit demeurer exceptionnelle dans le cadre du recours (arrêts 6B_803/2016 du 20 juillet 2017 consid. 1.2; 6B_520/2016 du 18 mai 2017 consid. 3.3). En cas de contestation portant sur une ordonnance de non-entrée en matière ( art. 310 CPP ) ou de classement ( art. 319 CPP ), l'organisation de débats publics suppose, non seulement une demande formulée de manière claire et indiscutable, mais aussi que l'équité de la procédure l'impose, compte tenu des spécificités de cette dernière et des questions à trancher (BERNHARD STRÄULI, in Commentaire romand, Code de procédure pénale, 2e éd. 2019, n° 5 ad art. 397 CPP ).</w:t>
      </w:r>
    </w:p>
    <w:p>
      <w:r>
        <w:rPr>
          <w:b/>
        </w:rPr>
        <w:t>E. 2.2</w:t>
      </w:r>
    </w:p>
    <w:p>
      <w:r>
        <w:t>En l'espèce, le recourant a certes requis d'être entendu par la cour cantonale. Il n'apparaît toutefois pas que la cause et les questions qu'elle soulève présentent des spécificités telles qu'elles commandaient d'entendre oralement le recourant et d'aller au-delà d'une procédure purement écrite, sachant au demeurant que la cour cantonale n'a pas ordonné d'échange d'écriture. En ce qui concerne l'accès au dossier, il ressort du procès-verbal des opérations ( art. 105 al. 2 LTF ), que le dossier a été remis en consultation au recourant en date du 28 août 2020 par le ministère public. Rien n'indique qu'il aurait alors été empêché d'en prendre copie. C'est dès lors en vain qu'il reproche à la cour cantonale de ne pas avoir donné suite à sa requête. Il ne prétend pas non plus qu'il aurait été privé de consulter le dossier auprès de l'autorité de recours. Sur ce point, son grief de violation du droit d'être entendu s'avère ainsi mal fondé et doit être rejeté.</w:t>
      </w:r>
    </w:p>
    <w:p>
      <w:r>
        <w:rPr>
          <w:b/>
        </w:rPr>
        <w:t>E. 3</w:t>
      </w:r>
    </w:p>
    <w:p>
      <w:r>
        <w:t>Le recourant reproche en outre à la cour cantonale d'avoir considéré qu'il n'avait pas contesté devant elle le raisonnement du ministère public s'agissant de l'infraction d'abus d'autorité et qu'il se limitait à s'en prendre à la motivation de l'ordonnance de non-entrée en matière concernant l'infraction d'injures également dénoncée.</w:t>
      </w:r>
    </w:p>
    <w:p>
      <w:r>
        <w:rPr>
          <w:b/>
        </w:rPr>
        <w:t>E. 3.1</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La motivation peut d'ailleurs être implicite et résulter des différents considérants de la décision ( ATF 141 V 557 consid. 3.2.1).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6B_329/2021 du 26 octobre 2021 consid. 3.2.1; 6B_191/2021 du 11 août 2021 consid. 7.2).</w:t>
      </w:r>
    </w:p>
    <w:p>
      <w:r>
        <w:rPr>
          <w:b/>
        </w:rPr>
        <w:t>E. 3.2</w:t>
      </w:r>
    </w:p>
    <w:p>
      <w:r>
        <w:t>En l'espèce, le recourant fait valoir que son recours daté du 28 août 2021 (cf. pièce 11) portait sur l'ordonnance de non-entrée en matière du 21 août précédent dans son ensemble, contrairement à ce qu'a considéré la cour cantonale. Il y indique "faire opposition" à l'encontre de cette dernière, sans distinction relative aux infractions en cause. L'arrêt attaqué ne comporte aucun élément permettant de comprendre que la cour cantonale aurait jugé insuffisante (cf. art. 385 al. 1 CPP ) la motivation du recours formé devant elle, étant relevé qu'elle l'a rejeté et non déclaré irrecevable. En outre, l'arrêt attaqué ne dit mot - ne serait-ce qu'en ce qui concerne sa recevabilité - au sujet du courrier du 22 novembre 2020 (cf. pièce 17) par lequel le recourant a complété son recours cantonal et dont il se prévaut dans son recours fédéral. Il s'ensuit qu'en se limitant à considérer, sans plus de développement, que le recourant ne contestait pas l'ordonnance querellée au sujet de l'infraction d'abus d'autorité, la cour cantonale a en réalité omis de se prononcer, respectivement de motiver sa décision sur un pan entier de la contestation. Elle a, partant, violé le droit d'être entendu du recourant. Sous cet angle, le grief soulevé par le recourant se révèle par conséquent fondé.</w:t>
      </w:r>
    </w:p>
    <w:p>
      <w:r>
        <w:rPr>
          <w:b/>
        </w:rPr>
        <w:t>E. 4</w:t>
      </w:r>
    </w:p>
    <w:p>
      <w:r>
        <w:t>Au vu de ce qui précède, le recours doit être partiellement admis, l'arrêt attaqué annulé et la cause renvoyée à l'autorité précédente pour nouvelle décision. Au regard de la nature formelle des vices examinés, il peut être procédé au renvoi sans ordonner préalablement un échange d'écritures (cf. ATF 133 IV 293 consid. 3.4.2 p. 296; plus récemment: arrêt 6B_1029/2020 du 5 octobre 2021 consid. 4). Le recourant, qui obtient partiellement gain de cause, ne supporte pas de frais. Procédant seul, il ne conclut pas explicitement à l'allocation de dépens. Il n'y a pas lieu de lui en allouer. La demande d'assistance judiciaire du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