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6B_1069/2019 vom 3. Oktober 2019</w:t>
      </w:r>
    </w:p>
    <w:p>
      <w:r>
        <w:t>Bundesgericht, 2019-10-03, FR</w:t>
      </w:r>
    </w:p>
    <w:p>
      <w:r>
        <w:rPr>
          <w:b/>
        </w:rPr>
        <w:t xml:space="preserve">Quelle: </w:t>
      </w:r>
      <w:r>
        <w:t>https://mcp.opencaselaw.ch/entscheid/bger_6B_1069_2019</w:t>
      </w:r>
    </w:p>
    <w:p>
      <w:r>
        <w:t>FR: TF 6B_1069/2019 du 3 octobre 2019</w:t>
      </w:r>
    </w:p>
    <w:p>
      <w:r>
        <w:t>IT: TF 6B_1069/2019 del 3 ottobre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Lorsque la partie plaignante se plaint d'infractions distinctes, elle doit mentionner, par rapport à chacune d'elles, en quoi consiste son dommage (arrêts 6B_1132/2019 du 2 octobre 2019 consid. 2.1; 6B_1077/2019 du 30 septembre 2019 consid. 2.1; 6B_959/2019 du 17 septembre 2019 consid. 2.1).</w:t>
      </w:r>
    </w:p>
    <w:p>
      <w:r>
        <w:rPr>
          <w:b/>
        </w:rPr>
        <w:t>E. 1.2</w:t>
      </w:r>
    </w:p>
    <w:p>
      <w:r>
        <w:t>En l'espèce, les recourants prétendent avoir subi un dommage correspondant "à la différence entre le devis initial pour la construction de leur villa qui leur a été soumis [...] et le coût final facturé". Ils ajoutent que leur dommage consisterait en outre dans le "coût des hypothèques légales requises par les entreprises dont la part correspondant au différentiel du devis initial n'a pu être payée".</w:t>
      </w:r>
    </w:p>
    <w:p>
      <w:r>
        <w:t>On ignore ainsi dans quelle mesure les recourants entendent déduire de telles prétentions civiles des infractions d'escroquerie, de gestion déloyale, de faux dans les titres et de contrainte dont ils se plaignent. Quoi qu'il en soit, on ne voit pas comment des frais de procédure liés aux hypothèques légales requises sur leur immeuble pourraient constituer un dommage découlant directement de l'une ou l'autre des infractions précitées. Par ailleurs, les recourants ne prétendent pas qu'ils auraient d'ores et déjà subi un dommage, mais évoquent la perspective de devoir, à l'avenir, solliciter un crédit hypothécaire supplémentaire afin de s'acquitter des frais de construction de leur immeuble. On ne perçoit donc pas, sur la base des brèves explications fournies dans leur recours, dans quelle mesure ils auraient subi une diminution de l'actif, une augmentation du passif, une non-augmentation de l'actif ou une non-diminution du passif.</w:t>
      </w:r>
    </w:p>
    <w:p>
      <w:r>
        <w:t>A défaut de plus amples explications en la matière, les recourants ne disposent pas de la qualité pour recourir sur le fond de la cause au sens de l'art. 81 al. 1 let. b ch. 5 LTF.</w:t>
      </w:r>
    </w:p>
    <w:p>
      <w:r>
        <w:rPr>
          <w:b/>
        </w:rPr>
        <w:t>E. 1.3</w:t>
      </w:r>
    </w:p>
    <w:p>
      <w:r>
        <w:t>L'hypothèse visée à l'art. 81 al. 1 let. b ch. 6 LTF n'entre pas en considération, les recourants ne soulevant aucun grief quant à leur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En l'occurrence, les recourants ne présentent aucun grief de cette nature susceptible d'être séparé du fond de la cause.</w:t>
      </w:r>
    </w:p>
    <w:p>
      <w:r>
        <w:rPr>
          <w:b/>
        </w:rPr>
        <w:t>E. 2</w:t>
      </w:r>
    </w:p>
    <w:p>
      <w:r>
        <w:t>Sur le vu de ce qui précède, le recours doit être déclaré irrecevable selon la procédure simplifiée prévue par l' art. 108 al. 1 let. a LTF . Les recourants, qui succombent, supportent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