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1065/2019 vom 23. Oktober 2019</w:t>
      </w:r>
    </w:p>
    <w:p>
      <w:r>
        <w:t>Bundesgericht, 2019-10-23, FR</w:t>
      </w:r>
    </w:p>
    <w:p>
      <w:r>
        <w:rPr>
          <w:b/>
        </w:rPr>
        <w:t xml:space="preserve">Quelle: </w:t>
      </w:r>
      <w:r>
        <w:t>https://mcp.opencaselaw.ch/entscheid/bger_6B_1065_2019</w:t>
      </w:r>
    </w:p>
    <w:p>
      <w:r>
        <w:t>FR: TF 6B 1065/2019 du 23 octobre 2019</w:t>
      </w:r>
    </w:p>
    <w:p>
      <w:r>
        <w:t>IT: TF 6B 1065/2019 del 23 ottobre 2019</w:t>
      </w:r>
    </w:p>
    <w:p>
      <w:pPr>
        <w:pStyle w:val="Heading2"/>
      </w:pPr>
      <w:r>
        <w:t>Regeste</w:t>
      </w:r>
    </w:p>
    <w:p>
      <w:r>
        <w:t>Menace; contrainte sexuelle; fixation de la peine; arbitraire | Infractions</w:t>
      </w:r>
    </w:p>
    <w:p>
      <w:pPr>
        <w:pStyle w:val="Heading2"/>
      </w:pPr>
      <w:r>
        <w:t>Erwägungen</w:t>
      </w:r>
    </w:p>
    <w:p>
      <w:r>
        <w:rPr>
          <w:b/>
        </w:rPr>
        <w:t>E. 1</w:t>
      </w:r>
    </w:p>
    <w:p>
      <w:r>
        <w:t>Dans un premier moyen, le recourant s'en prend à la constatation des faits et reproche à la cour cantonale de les avoir établis de façon arbitraire. Il lui fait également grief d'avoir violé la présomption d'innocence.</w:t>
      </w:r>
    </w:p>
    <w:p>
      <w:r>
        <w:rPr>
          <w:b/>
        </w:rPr>
        <w:t>E. 1.1</w:t>
      </w:r>
    </w:p>
    <w:p>
      <w:r>
        <w:t>Le Tribunal fédéral n'est pas une autorité d'appel, auprès de laquelle les faits pourraient être rediscutés librement. Il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En bref, une décision n'est pas arbitraire du seul fait qu'elle apparaît discutable ou même critiquable; il faut qu'elle soit manifestement insoutenable, et cela non seulement dans sa motivation mais aussi dans son résultat ( ATF 143 IV 500 consid. 1.1 p. 503 et les références citées).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(ibid.). 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6B_402/2019 du 27 août 2019 consid. 2.1; 6B_586/2019 du 3 juillet 2019 consid. 1.1; 6B_505/2019 du 26 juin 2019 consid. 3.1). Le Tribunal fédéral n'entre en matière sur les moyens fondés sur la violation de droits fondamentaux, dont l'interdiction de l'arbitraire, que s'ils ont été invoqués et motivés de manière précise ( art. 106 al. 2 LTF ; ibid.). Les critiques de nature appellatoires sont irrecevables ( ATF 145 I 26 consid. 1.3 p. 30; 142 III 364 consid. 2.4 p. 368).</w:t>
      </w:r>
    </w:p>
    <w:p>
      <w:r>
        <w:rPr>
          <w:b/>
        </w:rPr>
        <w:t>E. 1.2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1.3</w:t>
      </w:r>
    </w:p>
    <w:p>
      <w:r>
        <w:t>Les déclarations de la victime constituent un élément de preuve. Le juge doit, dans l'évaluation globale de l'ensemble des éléments probatoires rassemblés au dossier, les apprécier librement (arrêts 6B_346/2019 du 29 mai 2019 consid. 2.2; 6B_1283/2018 du 14 février 2019 consid. 1.3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w:t>
      </w:r>
    </w:p>
    <w:p>
      <w:r>
        <w:rPr>
          <w:b/>
        </w:rPr>
        <w:t>E. 1.4</w:t>
      </w:r>
    </w:p>
    <w:p>
      <w:r>
        <w:t>En l'espèce, le recourant a été condamné pour lésions corporelles simples, injures, menaces et contrainte sexuelle. Il ne conteste pas sa condamnation pour lésions corporelles simples s'agissant des faits commis le 9 février 2018. Il ne conteste pas non plus sa condamnation pour lésions corporelles simples et injures en ce qui concerne le complexe de faits survenus dans la nuit du 1 er au 2 mars 2018. Sur ce point, il nie cependant avoir tiré l'intimée par les cheveux, l'avoir menacée avec un couteau et l'avoir, par la suite, contrainte à entretenir des rapports sexuels. Il reproche à la cour cantonale d'avoir versé dans l'arbitraire et d'avoir violé la présomption d'innocence en établissant les faits sur la base de la version de l'intimée, tout en écartant sa propre version.</w:t>
      </w:r>
    </w:p>
    <w:p>
      <w:r>
        <w:rPr>
          <w:b/>
        </w:rPr>
        <w:t>E. 1.5</w:t>
      </w:r>
    </w:p>
    <w:p>
      <w:r>
        <w:t>Il est constant que, s'agissant des faits litigieux, les versions des parties s'opposent et que l'on se trouve face à une situation de "déclarations contre déclarations". Cela étant, la cour cantonale a, pour forger sa conviction, estimé que l'intimée n'avait aucun motif d'en vouloir au recourant et de le mettre en cause de façon injustifiée. Elle a de surcroît retenu que ses déclarations avaient été constantes, claires et dépourvues de contradictions durant toute l'instruction. Il en allait différemment de celles du recourant, qui avaient varié. Il avait de surcroît tenu des propos à l'emporte-pièce ou empreints d'exagérations. Il avait notamment contesté le fait que l'intimée se soit évanouie en se bornant à objecter que c'était lui, et non pas elle, qui s'était évanoui. La thèse d'un complot ourdi par cette dernière à son encontre ne trouvait aucune prise dans les éléments figurant au dossier. En outre, selon la cour cantonale, les explications de l'intimée concernant les motifs de la dispute survenue dans la nuit du 1 er au 2 mars 2018 étaient largement plus crédibles que celles du recourant. Elle l'expliquait par le fait qu'elle lui avait demandé de partir. Il soutenait qu'il souhaitait s'en aller et qu'elle l'avait supplié de rester. Il avait toutefois admis, lors des débats devant les premiers juges, qu'elle lui avait donné de l'argent pour qu'il quitte la Suisse, ce qui démontrait qu'elle voulait le voir partir. La cour cantonale a ensuite relevé que le recourant s'était montré violent à deux reprises avec l'intimée, qu'il dominait physiquement. Un premier épisode, qu'il avait admis, s'était déroulé le 9 février 2018, avant le second, survenu dans la nuit du 1er au 2 mars suivant. S'agissant de ce premier épisode, le rapport du Dr E.________ indiquait qu'il avait été consulté par l'intimée le 14 février 2018 et avait constaté sur sa patiente la présence d'un hématome sur la face externe de la tempe et sous l'oeil gauche. En ce qui concerne le second épisode, la cour cantonale a constaté la violence des coups portés par le recourant à l'intimée sur la base du dossier photographique de la police et du rapport médical du 2 mars 2018 établi par le département des urgences de l'Hôpital neuchâtelois et du rapport du 7 mars 2018 du Dr F.________, médecin légiste, qui concluait son rapport en indiquant que "[l]es contusions [étaient] fraîches à récentes, importantes en nombre, hétéro-agressives et compatibles avec les explications données. Il n'[était] pas exclu qu'il y ait eu un léger traumatisme crânien (perte de connaissances, vomissements, vertiges résiduels, céphalées) ". Retenant que les déclarations de l'intimée étaient détaillées et ne visaient pas à présenter les faits d'une façon particulièrement défavorable au recourant, la cour cantonale a retenu, toujours sur la base des déclarations de l'intimée, que ce dernier l'avait effectivement, au cours de la dispute, traînée par les cheveux pour l'amener dans la cuisine et qu'il l'y avait menacée avec un couteau. La cour cantonale a également considéré qu'au vu de l'avalanche de coups que le recourant avait infligés à l'intimée, au point d'entraîner chez elle une perte de connaissance et des vomissements, il y avait lieu d'accorder foi à la version de l'intimée, en ce qu'elle exposait avoir été contrainte, entre 4h00 et 6h30 le 2 mars 2018, à subir des rapports sexuels. Les juges précédents ont considéré, à cet égard également, que les déclarations de l'intimée étaient plus crédibles que celles du recourant, qu'elle a en définitive qualifiées d'invraisemblables. Ce dernier avait en effet soutenu qu'ils s'étaient réconciliés après la dispute, et que l'intimée, bien qu'ayant perdu connaissance, ayant vomi et étant couvertes d'ecchymoses, avait pris l'initiative d'entretenir avec lui des relations sexuelles en s'offrant, pour la première fois de leur vie intime, à des rapports anaux. Sa version et la réconciliation qu'il faisait valoir étaient de surcroît incompatibles avec l'appel de détresse à la police passé par l'intimée, le matin même, depuis la cage d'escalier de l'immeuble voisin où elle s'était réfugiée. Au surplus, les juges précédents ont encore relevé que le recourant avait exprimé son mépris pour l'intimée à de nombreuses reprises, notamment au cours des débats d'appel, lorsque, invité à s'exprimer en dernier, il l'avait décrite comme une "nymphomane" qu'il "devait satisfaire cinq ou six fois par jour".</w:t>
      </w:r>
    </w:p>
    <w:p>
      <w:r>
        <w:rPr>
          <w:b/>
        </w:rPr>
        <w:t>E. 1.6</w:t>
      </w:r>
    </w:p>
    <w:p>
      <w:r>
        <w:t>Le recourant objecte que, contrairement à ce qu'a retenu la cour cantonale, les déclarations de l'intimée n'auraient pas été constantes, claires et dépourvues de contradictions. Il soutient que ses déclarations comportent de nombreuses contradictions et imprécisions sur des éléments de faits essentiels. Il évoque tour à tour des divergences dans les déclarations de l'intimée au niveau de la chronologie des faits, au sujet de l'évanouissement retenu par la cour cantonale, d'éléments concernant le fait qu'elle a été privée de son téléphone, ou encore du comportement de l'intimée entre la fin de ce qu'il qualifie de dispute et les rapports sexuels, ainsi qu'au sujet des faits qui ont précédé la nuit du 1 er au 2 mars 2018 et à propos de leur connaissance respective de leur situation personnelle, en termes de situation matrimoniale pour l'une ou de séjour pour l'autre. Les arguments du recourant tombent à faux. La cour cantonale n'a pas méconnu l'existence de certaines imprécisions ou divergences dans les déclarations de l'intimée. A juste titre, elle les a qualifiées d'accessoires et a considéré qu'elles n'étaient pas déterminantes. De fait, aucun des éléments dont se prévaut le recourant n'affecte la cohérence globale de la version de l'intimée. Aucun des éléments en cause n'apparaît propre à instiller un doute sérieux concernant la matérialité des faits rapportés par cette dernière. Les lésions subies par l'intimée lors du premier épisode de violence, survenu le 9 février 2018, sont en effet attestées par un constat médical. De même, l'importance et la violence des coups portés à l'intimée durant la nuit du 1 er au 2 mars 2018 sont à leur tour établies de façon objective par le biais de photographies et de constats médicaux, qui corroborent son récit. Le recourant ne conteste pas les rapports sexuels en tant que tels. Ils ont ainsi eu lieu après des violences qui ont causé à l'intimée différentes lésions, une perte de connaissance et des vomissements. En outre, peu après ces faits, cette dernière a appelé la police par le biais du n° 117 et les policiers l'ont retrouvée réfugiée dans la cage d'escalier d'un immeuble voisin en pleurs, tremblante et présentant des marques de coups au visage. Au vu de ces circonstances, il n'était manifestement pas arbitraire d'accorder foi aux déclarations de l'intimée, tant en ce qui concerne les violences et les menaces avec un couteau rapportées, qu'au sujet de l'absence de consentement relatif aux rapports sexuels en cause. Inversement, la cour cantonale était fondée à dénier toute crédibilité à la version du recourant, lorsqu'il invoque une prétendue réconciliation, ainsi que des rapports sexuels consentis et même initiés par l'intimée. En définitive, le recourant échoue à démontrer en quoi la cour cantonale aurait versé dans l'arbitraire et violé la présomption d'innocence en jugeant crédible la version des faits de l'intimée et en établissant les faits sur cette base. Son grief, en tant que recevable, s'avère par conséquent mal fondé. Pour le reste, quoiqu'il conteste les faits, le recourant ne discute pas le jugement attaqué en ce qu'il lui impute la réalisation des éléments constitutifs objectifs et subjectifs des infractions sanctionnées par les art. 180 et 189 CP .</w:t>
      </w:r>
    </w:p>
    <w:p>
      <w:r>
        <w:rPr>
          <w:b/>
        </w:rPr>
        <w:t>E. 2</w:t>
      </w:r>
    </w:p>
    <w:p>
      <w:r>
        <w:t>Dans un second grief, le recourant invoque une violation de l' art. 47 CP et critique la quotité de la peine qui lui a été infligée. On comprend que son grief se concentre sur la quotité de la peine privative de liberté de base de 3 ans et 6 mois destinée à sanctionner les actes de contrainte sexuelle ( art. 189 CP ) imputés au recourant, étant relevé qu'il a été condamné à une peine privative de liberté (d'ensemble) de 3 ans et 11 mois sanctionnant également des lésions corporelles simples ( art. 123 CP ) et des menaces ( art. 180 CP ), ainsi qu'à une peine pécuniaire (cumulative) de 10 jours-amende à 10 fr. le jour, pour les injures ( art. 177 CP ) retenues à sa charge.</w:t>
      </w:r>
    </w:p>
    <w:p>
      <w:r>
        <w:rPr>
          <w:b/>
        </w:rPr>
        <w:t>E. 2.1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S'agissant des principes présidant à la fixation de la peine, il convient de se référer aux ATF 144 IV 313 consid. 1.2 p. 319, 142 IV 137 consid. 9.1 p. 147 et 141 IV 61 consid. 6.1.1 p. 66 s. Il suffit de rappeler que l'exercice du contrôle de l'application de ces principes par le Tribunal fédéral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(arrêt 6B_1141/2017 du 7 juin 2018 consid. 4.1 et les références citées). Un recours ne saurait être admis simplement pour améliorer ou compléter un considérant lorsque la décision rendue apparaît conforme au droit ( ATF 144 IV 313 consid. 1.2 p. 319; 136 IV 55 consid. 5.6 p. 61; 134 IV 17 consid. 2.1 p. 19 s.).</w:t>
      </w:r>
    </w:p>
    <w:p>
      <w:r>
        <w:rPr>
          <w:b/>
        </w:rPr>
        <w:t>E. 2.2</w:t>
      </w:r>
    </w:p>
    <w:p>
      <w:r>
        <w:t>En l'espèce, le recourant soutient en premier lieu que la cour cantonale aurait abusé de son pouvoir d'appréciation en fixant la quotité de sa peine et prétend qu'elle n'aurait pas pris en compte les éléments essentiels relatifs à sa personne. Elle aurait certes énuméré les éléments déterminants à cet égard mais sans indiquer quelle incidence ils revêtaient sur la quotité de la peine, manquant par conséquent à son obligation de motivation. De surcroît la cour cantonale aurait retenu à tort qu'il n'avait éprouvé aucun regret. Sur ce dernier point, le recourant se méprend. La cour cantonale a bien évoqué les regrets exprimés mais elle a considéré, au vu du mépris qu'il avait affiché à l'égard de l'intimée, que ceux-ci n'étaient pas sincères. Quoi qu'il en soit, le jugement attaqué permet de comprendre que la cour cantonale a retenu une grave atteinte à l'intégrité sexuelle de l'intimée et reproché au recourant d'avoir agi avec égoïsme pour l'assouvissement de ses pulsions sexuelles. Elle a retenu qu'il avait agi dans le but de nuire à l'intimée, alors que cette dernière n'avait pas adopté d'attitude blâmable à son égard. Au sujet de la situation personnelle du recourant, la cour cantonale a évoqué son absence d'antécédent en Suisse, une condamnation à une peine privative de liberté de 4 mois avec sursis en France et une condamnation, en Allemagne, à une amende de 900 euros convertie en une peine privative de liberté. Elle a relevé qu'il ne disposait pas de titre de séjour en Suisse ni de moyen d'existence, puisqu'il y était entretenu par l'intimée. Le risque de récidive a été décrit comme moyen, mais néanmoins susceptible d'augmenter dans l'hypothèse d'une nouvelle relation sentimentale. Pour le reste, sa situation personnelle n'était que peu documentée, la cour cantonale mentionnant une demande d'asile aux Pays-Bas et le fait qu'il est père de trois enfants issus d'un précédent mariage, vivant en Algérie et dont il s'efforce de subvenir. Il semblait en outre avoir un bon comportement en prison. Compte tenu des éléments précités, on ne discerne pas quel aspect la cour cantonale aurait omis de prendre en compte et le recourant lui-même n'en évoque en réalité aucun. Dès lors que la jurisprudence ne l'impose pas, on ne saurait reprocher aux juges précédents de ne pas avoir quantifié de façon précise le poids respectif des différents éléments pris en considération. En tout état, les circonstances mises en exergue par la cour cantonale permettent de considérer qu'elle n'a pas abusé du large pouvoir d'appréciation qui était le lien en fixant une peine privative de liberté de base de 3 ans et six mois destinée à sanctionner les actes de contrainte sexuelle imputés au recourant.</w:t>
      </w:r>
    </w:p>
    <w:p>
      <w:r>
        <w:rPr>
          <w:b/>
        </w:rPr>
        <w:t>E. 2.3</w:t>
      </w:r>
    </w:p>
    <w:p>
      <w:r>
        <w:t>Toujours en ce qui concerne la quotité de la peine, le recourant se plaint en second lieu d'inégalité de traitement. A cet égard, le Tribunal fédéral a eu l'occasion de le rappeler à maintes reprises, la comparaison d'une peine d'espèce avec celle prononcée dans d'autres cas concrets est d'emblée délicate, compte tenu des nombreux paramètres qui interviennent dans la fixation de la peine.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elles ne suffisent pas en elles-mêmes pour conclure à un abus du pouvoir d'appréciation ( ATF 141 IV 61 consid. 6.3.2 p. 70 et arrêts cités). La comparaison est généralement stérile, dès lors qu'il existe presque toujours des différences entre les circonstances, objectives et subjectives, que le juge doit prendre en considération dans chacun des cas (arrêts 6B_963/2019 du 8 octobre 2019 consid. 3.3.1; 6B_138/2019 du 6 août 2019 consid. 3.1.1). En l'occurrence, c'est en vain que le recourant se prévaut de deux précédents, consistant en un arrêt cantonal neuchâtelois et un arrêt vaudois, confirmé par la cour de céans (arrêt 6B_968/2016 du 25 septembre 2017). Il se contente d'évoquer des faits similaires sans démontrer en quoi les circonstances concrètes de son cas présenteraient une telle similitude, y compris au plan des circonstances personnelles. Les comparaisons invoquées sont donc dépourvues de pertinence.</w:t>
      </w:r>
    </w:p>
    <w:p>
      <w:r>
        <w:rPr>
          <w:b/>
        </w:rPr>
        <w:t>E. 2.4</w:t>
      </w:r>
    </w:p>
    <w:p>
      <w:r>
        <w:t>Au vu de ce qui précède, le grief tiré d'une prétendue violation de l' art. 47 CP s'avère infondé. Le recourant ne soulève aucun grief concernant l'application de l' art. 49 CP . Il ne se plaint pas non plus de l'application de l' art. 66a CP sur la base des faits retenus, même s'il les conteste.</w:t>
      </w:r>
    </w:p>
    <w:p>
      <w:r>
        <w:rPr>
          <w:b/>
        </w:rPr>
        <w:t>E. 2.5</w:t>
      </w:r>
    </w:p>
    <w:p>
      <w:r>
        <w:t>Dès lors que ses griefs sont rejetés, il n'y a pas lieu d'examiner plus avant les conclusions du recourant tendant au versement d'une indemnité au sens de l' art. 429 CPP .</w:t>
      </w:r>
    </w:p>
    <w:p>
      <w:r>
        <w:rPr>
          <w:b/>
        </w:rPr>
        <w:t>E. 3</w:t>
      </w:r>
    </w:p>
    <w:p>
      <w:r>
        <w:t>Il s'ensuit que le recours doit être rejeté dans la mesure où il est recevable. Comme il était dépourvu de chances de succès, l'assistance judiciaire ne peut être accordée ( art. 64 al. 1 LTF ). Par conséquent,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