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6B_1064/2023 vom 29. November 2023</w:t>
      </w:r>
    </w:p>
    <w:p>
      <w:r>
        <w:t>Bundesgericht, 2023-11-29, FR</w:t>
      </w:r>
    </w:p>
    <w:p>
      <w:r>
        <w:rPr>
          <w:b/>
        </w:rPr>
        <w:t xml:space="preserve">Quelle: </w:t>
      </w:r>
      <w:r>
        <w:t>https://mcp.opencaselaw.ch/entscheid/bger_6B_1064_2023</w:t>
      </w:r>
    </w:p>
    <w:p>
      <w:r>
        <w:t>FR: TF 6B_1064/2023 du 29 novembre 2023</w:t>
      </w:r>
    </w:p>
    <w:p>
      <w:r>
        <w:t>IT: TF 6B_1064/2023 del 29 novembre 2023</w:t>
      </w:r>
    </w:p>
    <w:p>
      <w:pPr>
        <w:pStyle w:val="Heading2"/>
      </w:pPr>
      <w:r>
        <w:t>Erwägungen</w:t>
      </w:r>
    </w:p>
    <w:p>
      <w:r>
        <w:rPr>
          <w:b/>
        </w:rPr>
        <w:t>E. 1</w:t>
      </w:r>
    </w:p>
    <w:p>
      <w:r>
        <w:t>Par arrêt du 20 juillet 2023, la Chambre des recours pénale du Tribunal cantonal vaudois a rejeté dans la mesure de sa recevabilité le recours interjeté par A.________ contre le prononcé rendu le 28 juin 2023 par lequel le Tribunal de police de l'arrondissement de l'Est vaudois avait en particulier déclaré irrecevable l'opposition formée le 13 juin 2023 par le prénommé contre l'ordonnance pénale du 9 février 2021. Par ladite ordonnance, le ministère public avait condamné l'intéressé pour contravention et délit à la LStup (RS 812.121), séjour illégal et travail illégal, à une peine privative de liberté de 180 jours, sous déduction de 2 jours de détention avant jugement, et à une amende de 300 fr., sous déduction de 300 fr. déjà versés. Cette ordonnance avait été notifiée en mains propres à A.________ le 9 février 2021, à la suite de son audition pour laquelle il était assisté de son avocate de la première heure.</w:t>
      </w:r>
    </w:p>
    <w:p>
      <w:r>
        <w:rPr>
          <w:b/>
        </w:rPr>
        <w:t>E. 2</w:t>
      </w:r>
    </w:p>
    <w:p>
      <w:r>
        <w:t>Par acte du 25 août 2023, l'on comprend que A.________ forme un recours en matière pénale au Tribunal fédéral contre l'arrêt du 20 juillet 2023.</w:t>
      </w:r>
    </w:p>
    <w:p>
      <w:r>
        <w:t>Par courrier du 25 septembre 2023, il sollicite le bénéfice de l'assistance judiciaire.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De plus, 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t>En l'espèce, le recourant se borne à demander la conversion de sa peine privative de liberté en une peine pécuniaire, vu son état de santé fragile et les soins hospitaliers dont il a besoin. En outre, il soutient n'avoir aucun souvenir de la remise en mains propres de l'ordonnance pénale du 9 février 2021. Ce faisant, l'intéressé ne développe aucune argumentation se rapportant à la question juridique tranchée dans l'arrêt querellé et n'expose pas en quoi la cour cantonale aurait violé le droit fédéral en rejetant son recours, aux motifs que l'opposition était tardive et qu'il était irrecevable à se prévaloir de ses problèmes de santé dans le cadre du recours cantonal. L'on cherche ainsi en vain dans les écritures du recourant un quelconque grief motivé à satisfaction de droit (cf. art. 42 al. 2 et 106 al. 2 LTF).</w:t>
      </w:r>
    </w:p>
    <w:p>
      <w:r>
        <w:t>Au vu de ce qui précède, le recours doit être déclaré irrecevable, faute de satisfaire aux exigences de motivation d'un recours en matière pénale.</w:t>
      </w:r>
    </w:p>
    <w:p>
      <w:r>
        <w:rPr>
          <w:b/>
        </w:rPr>
        <w:t>E. 4</w:t>
      </w:r>
    </w:p>
    <w:p>
      <w:r>
        <w:t>L'irrecevabilité est manifeste, ce qu'il convient de constater dans la procédure prévue par l' art. 108 al. 1 let. b LTF . Il peut exceptionnellement être statué sans frais (cf. art. 65 al. 2 et 66 al. 1 LTF), ce qui rend la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