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6B_1064/2019 vom 16. Januar 2020</w:t>
      </w:r>
    </w:p>
    <w:p>
      <w:r>
        <w:t>Bundesgericht, 2020-01-16, FR</w:t>
      </w:r>
    </w:p>
    <w:p>
      <w:r>
        <w:rPr>
          <w:b/>
        </w:rPr>
        <w:t xml:space="preserve">Quelle: </w:t>
      </w:r>
      <w:r>
        <w:t>https://mcp.opencaselaw.ch/entscheid/bger_6B_1064_2019</w:t>
      </w:r>
    </w:p>
    <w:p>
      <w:r>
        <w:t>FR: TF 6B_1064/2019 du 16 janvier 2020</w:t>
      </w:r>
    </w:p>
    <w:p>
      <w:r>
        <w:t>IT: TF 6B_1064/2019 del 16 gennaio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et les références citées). Si la partie plaignante se plaint d'infractions distinctes, elle doit mentionner, par rapport à chacune d'elles, en quoi consiste son dommage (cf. arrêts 6B_707/2019 du 29 novembre 2019 consid. 2.1; 6B_1050/2019 du 20 novembre 2019 consid. 1.3).</w:t>
      </w:r>
    </w:p>
    <w:p>
      <w:r>
        <w:rPr>
          <w:b/>
        </w:rPr>
        <w:t>E. 1.2</w:t>
      </w:r>
    </w:p>
    <w:p>
      <w:r>
        <w:t>En l'espèce, par correspondance du 28 février 2019 adressée au procureur, la recourante a formé des conclusions civiles chiffrées en réparation de son tort moral, remboursement de frais médicaux et paiement de dommages-intérêts découlant des infractions qu'elle dénonce (pièce 37 du dossier cantonal). Elle explique en outre de manière détaillée dans son recours quelles sont les prétentions civiles qu'elle déduit de chacune des infractions alléguées. Il en découle qu'elle a suffisamment établi en quoi l'admission de son recours à l'encontre de la décision attaquée est susceptible d'avoir une influence sur ses prétentions civiles, de sorte qu'elle dispose de la qualité pour recourir.</w:t>
      </w:r>
    </w:p>
    <w:p>
      <w:r>
        <w:rPr>
          <w:b/>
        </w:rPr>
        <w:t>E. 2</w:t>
      </w:r>
    </w:p>
    <w:p>
      <w:r>
        <w:t>La recourante dénonce la violation du principe "in dubio pro duriore". Elle conteste le classement de l'infraction de lésions corporelles simples en lien avec les faits du 2 octobre 2014.</w:t>
      </w:r>
    </w:p>
    <w:p>
      <w:r>
        <w:rPr>
          <w:b/>
        </w:rPr>
        <w:t>E. 2.1</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2.2</w:t>
      </w:r>
    </w:p>
    <w:p>
      <w:r>
        <w:t>Aux termes de l' art. 123 ch. 1 al. 1 CP , celui qui, intentionnellement, aura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p. 192 et les références citées; plus récemment arrêt 6B_218/2019 du 27 juin 2019 consid. 1.1.1).</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L'atteinte au sens de l' art. 126 CP présuppose une certaine intensité (arrêt 6B_1191/2019 du 4 décembre 2019 consid. 3.1). Peuvent être qualifiées de voies de fait, une gifle, un coup de poing ou de pied, de fortes bourrades avec les mains ou les coudes (arrêts 6B_386/2019 du 25 septembre 2019 consid. 2.1; 6B_1405/2017 du 10 juillet 2018 consid. 2.1 et les références citées).</w:t>
      </w:r>
    </w:p>
    <w:p>
      <w:r>
        <w:t>La distinction entre lésions corporelles et voies de fait peut s'avérer délicate, notamment lorsque l'atteinte s'est limitée à des meurtrissures, des écorchures, des griffures ou des contusions. Dans les cas limites, il faut tenir compte de l'importance de la douleur provoquée ( ATF 134 IV 189 consid. 1.3 p. 192; sur cette distinction, cf. ATF 119 IV 25 consid 2a p. 26 s.). Comme les notions de voies de faitet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p. 192; 119 IV 25 consid. 2a p. 27 et les références citées).</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142 III 364 consid. 2.4 p. 368 et les références citées).</w:t>
      </w:r>
    </w:p>
    <w:p>
      <w:r>
        <w:rPr>
          <w:b/>
        </w:rPr>
        <w:t>E. 2.3</w:t>
      </w:r>
    </w:p>
    <w:p>
      <w:r>
        <w:t>La cour cantonale a constaté qu'il ressortait du certificat médical établi le lendemain des faits, soit le 3 octobre 2014, que la gifle assénée par l'intimé à la recourante avait provoqué un oedème de la joue gauche et des traces rouges allant jusqu'au tissu sous-cutané. En outre, le certificat médical du 26 avril 2019 mentionnait que la joue gauche de la recourante présentait alors toujours un léger oedème. La plainte pénale du 4 octobre 2014 ne faisait en revanche pas état de marque cutanée sur la joue et dans son complément de plainte du 24 novembre 2014, l'intéressée, pourtant alors assistée, avait qualifié la gifle en question de voies de fait exclusivement.</w:t>
      </w:r>
    </w:p>
    <w:p>
      <w:r>
        <w:t>L'autorité précédente ne s'est pas écartée d'un moyen de preuve clair en constatant qu'il n'était pas établi, au vu de la durée considérable écoulée entre les deux certificats, que l'oedème visible quatre ans après les faits soit le même que celui visible au lendemain de ceux-ci, et que l'on ne voyait guère comment un tel fait pourrait être démontré. Elle n'a pas abusé de son pouvoir d'appréciation en retenant qu'une gifle, qui n'avait en l'occurrence causé qu'un simple oedème et des traces rouges à teneur du certificat médical du 4 octobre 2014, ne constituait pas une importante atteinte à l'intégrité corporelle de la recourante.</w:t>
      </w:r>
    </w:p>
    <w:p>
      <w:r>
        <w:rPr>
          <w:b/>
        </w:rPr>
        <w:t>E. 2.4</w:t>
      </w:r>
    </w:p>
    <w:p>
      <w:r>
        <w:t>En ce qui concerne l'atteinte d'ordre psychique invoquée, notamment sur la base du certificat médical du 24 novembre 2014, la cour cantonale a constaté qu'il s'agissait d'une affection durable qui ne saurait être mise en relation avec l'unique gifle reçue dans la soirée du 2 octobre 2014. Le sort du chat, à l'origine d'un litige prolongé qui s'était étendu devant les trois instances, revêtait à l'évidence une importance primordiale pour la recourante. En outre, divers comportements de la recourante, y compris avant la gifle litigieuse, dénotaient une instabilité psychique constitutive d'un facteur anxio-dépressif à l'évidence autrement plus notable qu'une simple gifle. L'autorité précédente excluait ainsi toute atteinte, un tant soit peu durable, pouvant être mise en relation avec la gifle assénée par l'intimé le 2 octobre 2014.</w:t>
      </w:r>
    </w:p>
    <w:p>
      <w:r>
        <w:t>La recourante ne démontre pas en quoi l'autorité précédente aurait apprécié les moyens de preuve de manière insoutenable en concluant à l'absence de lien de causalité (naturelle) entre son état dépressif et la gifle litigieuse. Certes, comme elle le fait valoir, il lui a été diagnostiqué, quatre ans après les faits, des "symptômes anxio-dépressifs dans le contexte d'un litige portant sur la garde d'un chat et une violente altercation subie par la patiente dans ce contexte" (pièce 35/3). Il n'en demeure pas moins que la cour cantonale pouvait retenir, sans verser dans l'arbitraire, qu'au vu des exemples d'instabilité du comportement de la recourante mis en exergue dans le jugement cantonal, notamment antérieurs à la gifle du 2 octobre 2014, ce simple geste n'était pas à l'origine de ses troubles psychiques. Par ailleurs, la recourante ne soutient pas que des actes d'instruction, tels que l'audition du médecin qui a rédigé les certificats, auraient pu apporter d'autres éléments que ceux qui figurent déjà dans ces documents. On comprend aussi du jugement cantonal que, sous l'angle de la causalité adéquate, une unique gifle, infligée par un proche alors qu'elle était dans un état d'hystérie, ne saurait être mise en relation avec des troubles psychiques durables tels que ceux dont souffre la recourante. Cette considération ne prête pas le flanc à la critique.</w:t>
      </w:r>
    </w:p>
    <w:p>
      <w:r>
        <w:t>Aussi l'autorité précédente pouvait-elle retenir, sans violer le principe "in dubio pro duriore", que les éléments constitutifs de l'infraction de lésions corporelles n'étaient pas réalisés.</w:t>
      </w:r>
    </w:p>
    <w:p>
      <w:r>
        <w:t>Pour le surplus, la recourante ne conteste pas que l'infraction de voies de fait soit prescrite.</w:t>
      </w:r>
    </w:p>
    <w:p>
      <w:r>
        <w:rPr>
          <w:b/>
        </w:rPr>
        <w:t>E. 3</w:t>
      </w:r>
    </w:p>
    <w:p>
      <w:r>
        <w:t>La recourante soutient que la cour cantonale a violé le droit fédéral en confirmant le classement de la procédure du chef d'infractions de menaces et tentative de contrainte au regard de la lettre que l'intimé lui a adressée le 17 avril 2014, l'enjoignant à mettre fin à la procédure pénale en lui rendant le chat.</w:t>
      </w:r>
    </w:p>
    <w:p>
      <w:r>
        <w:rPr>
          <w:b/>
        </w:rPr>
        <w:t>E. 3.1</w:t>
      </w:r>
    </w:p>
    <w:p>
      <w:r>
        <w:t>Aux termes de l' art. 180 al. 1 CP , celui qui, par une menace grave, aura alarmé ou effrayé une personne sera, sur plainte, puni d'une peine privative de liberté de trois ans au plus ou d'une peine pécuniaire. Se rend coupable de contrainte selon l' art. 181 CP celui qui, en usant de violence envers une personne ou en la menaçant d'un dommage sérieux, ou en l'entravant de quelque autre manière dans sa liberté d'action, l'aura obligée à faire, à ne pas faire ou à laisser faire un acte.</w:t>
      </w:r>
    </w:p>
    <w:p>
      <w:r>
        <w:t>La menace est un moyen de pression psychologique consistant à annoncer un dommage futur dont la réalisation est présentée comme dépendante de la volonté de l'auteur, sans toutefois qu'il soit nécessaire que cette dépendance soit effective ( ATF 117 IV 445 consid. 2b p. 448)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En tant que telle, la menace du dépôt d'une plainte pénale constitue la menace d'un dommage sérieux (cf. ATF 120 IV 17 consid. 2a/aa p. 19).</w:t>
      </w:r>
    </w:p>
    <w:p>
      <w:r>
        <w:t>Lorsque la victime ne se laisse pas intimider et n'adopte pas le comportement voulu par l'auteur, ce dernier est punissable de tentative de contrainte ( art. 22 al. 1 CP ; ATF 129 IV 262 consid. 2.7 p. 270; 106 IV 125 consid. 2b p. 12).</w:t>
      </w:r>
    </w:p>
    <w:p>
      <w:r>
        <w:rPr>
          <w:b/>
        </w:rPr>
        <w:t>E. 3.2</w:t>
      </w:r>
    </w:p>
    <w:p>
      <w:r>
        <w:t>La cour cantonale a constaté que la lettre de l'intimé du 17 avril 2014 (pièce 8/2/2 du dossier cantonal) comportait des propos pouvant être perçus comme insistants, voire quelque peu polémiques. Cela étant, l'auteur de la missive s'était limité à rendre sa correspondante attentive aux conséquences préjudiciables d'une procédure pénale prolongée, y compris s'agissant des risques professionnels découlant d'une éventuelle condamnation. En outre, l'écrit incriminé ne mentionnait aucun dommage futur dont la réalisation serait présentée comme dépendante de la volonté de l'auteur, l'intimé se limitant à un exposé des conséquences possibles, sinon notoirement vraisemblables, d'une procédure pénale. Au vrai, il paraissait avoir agi dans un but d'apaisement à l'égard de sa partie adverse.</w:t>
      </w:r>
    </w:p>
    <w:p>
      <w:r>
        <w:t>La recourante soutient que la lettre traduisait une volonté de divulguer la plainte pour vol auprès de tiers et de livrer une bataille juridique sans fin si elle ne lui livrait pas le chat. Elle ajoute que l'intimé avait tenté de contacter sa colocataire pour lui demander des renseignements, ce qui avait conforté son inquiétude. Ces éléments de fait ne ressortent toutefois pas de la décision attaquée et la recourante ne démontre pas l'arbitraire de leur omission. Ils ne sont dès lors pas recevables. Par ailleurs, l'attitude perturbée de la recourante lors d'une audience en décembre 2014, dont elle se prévaut, est sans pertinence, non seulement parce que le lien de causalité avec la lettre reçue sept mois plus tôt n'est pas établi, mais encore parce que l'existence d'une menace grave s'évalue sous l'angle de critères objectifs, en se plaçant du point de vue d'une personne de sensibilité moyenne. En définitive, l'analyse à laquelle procède la cour cantonale afin de qualifier le contenu de la lettre n'est pas critiquable. Partant, en considérant que la lettre ne contenait pas de commination objectivement de nature à alarmer ou à effrayer une personne raisonnable face à une situation identique, ce qui excluait tant l'infraction de menace que celle de tentative de contrainte, la cour cantonale n'a pas violé le droit fédéral.</w:t>
      </w:r>
    </w:p>
    <w:p>
      <w:r>
        <w:rPr>
          <w:b/>
        </w:rPr>
        <w:t>E. 4</w:t>
      </w:r>
    </w:p>
    <w:p>
      <w:r>
        <w:t>La recourante invoque encore la violation du principe "in dubio pro duriore" en lien avec le classement de l'infraction d'abus de confiance.</w:t>
      </w:r>
    </w:p>
    <w:p>
      <w:r>
        <w:rPr>
          <w:b/>
        </w:rPr>
        <w:t>E. 4.1</w:t>
      </w:r>
    </w:p>
    <w:p>
      <w:r>
        <w:t>Commet un abus de confiance, au sens de l' art. 138 ch. 1 al. 1 CP , celui qui, pour se procurer ou pour procurer à un tiers un enrichissement illégitime, se sera approprié une chose mobilière appartenant à autrui et qui lui avait été confiée.</w:t>
      </w:r>
    </w:p>
    <w:p>
      <w:r>
        <w:t>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consid. 2 p. 278).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D'un point de vue subjectif, l'auteur doit avoir agi intentionnellement et dans un dessein d'enrichissement illégitime, lequel peut être réalisé par dol éventuel ( ATF 118 IV 32 consid. 2a p. 34).</w:t>
      </w:r>
    </w:p>
    <w:p>
      <w:r>
        <w:rPr>
          <w:b/>
        </w:rPr>
        <w:t>E. 4.2</w:t>
      </w:r>
    </w:p>
    <w:p>
      <w:r>
        <w:t>La cour cantonale a constaté que la recourante reprochait à l'intimé d'avoir indûment gardé, en tout cas après le transfert de la possession du chat à la recourante, des équipements animaliers qu'elle lui aurait confié avant son départ pour le Canada. Il aurait également refusé de lui rendre des ballerines roses qu'elle avait laissées chez lui. Or, les équipements animaliers en cause n'étaient pas mentionnés dans la plainte du 4 octobre 2014 et ne l'avaient pas davantage été lors de l'audition de la recourante dans le cadre de l'audience de conciliation du 10 décembre 2014: ils n'étaient pas non plus détaillés dans le recours, qui ne comportait aucun allégué précis à cet égard. Bien plutôt, il ressortait du dossier que l'intimé avait lui-même acquis, à ses frais, ce dont il avait besoin pour garder l'animal chez lui, dès lors qu'il était constant qu'il en avait alors assumé l'ensemble des frais d'entretien et de soins divers. Quant aux ballerines de la recourante, aucun élément au dossier n'indiquait que l'intéressée les aurait laissées chez l'intimé, avec lequel elle ne faisait du reste pas ménage commun.</w:t>
      </w:r>
    </w:p>
    <w:p>
      <w:r>
        <w:rPr>
          <w:b/>
        </w:rPr>
        <w:t>E. 4.3</w:t>
      </w:r>
    </w:p>
    <w:p>
      <w:r>
        <w:t>La recourante énumère dans son recours au Tribunal fédéral la nature des objets que l'intimé se serait appropriés. Ses allégations ne trouvent cependant pas appui dans le dossier. En particulier, si les deux sms adressés à l'intimé - produits par lui - attestent d'un conflit avec la recourante au sujet des affaires du chat, ils ne permettent pas de connaître l'étendue des équipements animaliers qu'elle lui aurait confiés avant son départ au Canada. Il en va de même de la lettre de l'intimé au procureur du 8 octobre 2014 ainsi que des factures relatives aux objets que la recourante a acquis pour son chat après le 3 octobre 2014, lesquelles montrent seulement qu'elle a effectué certains achats (qui ne correspondent que pour partie aux objets qu'elle énumère dans son recours), mais pas encore qu'il s'agissait de remplacer des objets qui lui auraient appartenu et que l'intimé se serait appropriés sans droit. La cour cantonale n'a donc pas fait preuve d'arbitraire lorsqu'elle a constaté que les choses mobilières que se serait appropriées l'intimé n'avaient pas été étayées par la recourante, étant souligné que sa plainte, ses déclarations en audience de conciliation et son recours cantonal sont muets à cet égard. Elle pouvait dès lors considérer, sans violer le droit fédéral, qu'en présence d'éléments aussi ténus, un acquittement paraissait plus probable qu'une condamnation.</w:t>
      </w:r>
    </w:p>
    <w:p>
      <w:r>
        <w:t>En ce qui concerne ses ballerines, la recourante fait uniquement valoir que le ministère public n'a pas procédé à toutes les mesures d'instruction pertinentes susceptibles d'établir l'existence de soupçons suffisants justifiant une mise en accusation. Comme déjà relevé dans le jugement cantonal, elle n'expose pas avoir présenté des moyens de preuve que le procureur aurait rejetés à tort. Elle ne dit pas non plus quelles mesures d'instruction auraient dû être mises en oeuvre d'office. Partant, la cour cantonale n'a pas violé le principe in "dubio pro duriore" en confirmant le classement pour ce chef de prévention également.</w:t>
      </w:r>
    </w:p>
    <w:p>
      <w:r>
        <w:rPr>
          <w:b/>
        </w:rPr>
        <w:t>E. 5</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