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1064/2013 vom 10. März 2014</w:t>
      </w:r>
    </w:p>
    <w:p>
      <w:r>
        <w:t>Bundesgericht, 2014-03-10, DE</w:t>
      </w:r>
    </w:p>
    <w:p>
      <w:r>
        <w:rPr>
          <w:b/>
        </w:rPr>
        <w:t xml:space="preserve">Quelle: </w:t>
      </w:r>
      <w:r>
        <w:t>https://mcp.opencaselaw.ch/entscheid/bger_6B_1064_2013</w:t>
      </w:r>
    </w:p>
    <w:p>
      <w:r>
        <w:t>FR: TF 6B 1064/2013 du 10 mars 2014</w:t>
      </w:r>
    </w:p>
    <w:p>
      <w:r>
        <w:t>IT: TF 6B 1064/2013 del 10 marzo 2014</w:t>
      </w:r>
    </w:p>
    <w:p>
      <w:pPr>
        <w:pStyle w:val="Heading2"/>
      </w:pPr>
      <w:r>
        <w:t>Regeste</w:t>
      </w:r>
    </w:p>
    <w:p>
      <w:r>
        <w:t>Freiheitsberaubung | Straftaten</w:t>
      </w:r>
    </w:p>
    <w:p>
      <w:pPr>
        <w:pStyle w:val="Heading2"/>
      </w:pPr>
      <w:r>
        <w:t>Erwägungen</w:t>
      </w:r>
    </w:p>
    <w:p>
      <w:r>
        <w:rPr>
          <w:b/>
        </w:rPr>
        <w:t>E. 1.1</w:t>
      </w:r>
    </w:p>
    <w:p>
      <w:r>
        <w:t>Der Beschwerdeführer wendet sich gegen seine Verurteilung wegen Freiheitsberaubung. Da er nur auf den ersten 600 m der Fahrt die Möglichkeit gehabt habe anzuhalten, sei das Kriterium der "gewissen Erheblichkeit" nicht gegeben. Wer nicht unverzüglich halte, wenn der Mitreisende auszusteigen wünsche, begehe keine Freiheitsberaubung (Beschwerde S. 4 ff. Ziff. 2 ff.).</w:t>
      </w:r>
    </w:p>
    <w:p>
      <w:r>
        <w:rPr>
          <w:b/>
        </w:rPr>
        <w:t>E. 1.2</w:t>
      </w:r>
    </w:p>
    <w:p>
      <w:r>
        <w:t>Die Vorinstanz hält fest, der Beschwerdeführer habe seine Ex-Freundin gegen ihren Willen mittels physischer und psychischer Gewalt gezwungen, in sein Fahrzeug zu steigen und mitzufahren. Sie habe sich physisch zur Wehr gesetzt und ihm mehrfach (auch konkludent) zu verstehen gegeben, dass sie nicht mitkommen wolle. Es sei irrelevant, dass er nach einer Fahrminute nur noch beim Rastplatz B.________ habe anhalten können. Ihm sei bereits vor Beginn der Fahrt bewusst gewesen, dass sich seine Ex-Freundin gegen ihren Willen im Auto befunden habe. Die Strecke von ca. 8,9 km zwischen dem Ausgangspunkt und dem ersten Halt am Rastplatz B.________ erfülle das Kriterium der "gewissen Erheblichkeit" im Sinne der Rechtsprechung (Urteil S. 12 f. E. 3.3). Die Vorinstanz erwägt, der Beschwerdeführer habe seine Ex-Freundin zum Einsteigen gezwungen, womit er ihr offensichtlich die Bewegungsfreiheit habe entziehen wollen. Dass er nicht gewusst habe, dass sie gegen ihren Willen eingestiegen und mitgefahren sei, sei angesichts der Intensität der eingesetzten Gewalt eine Schutzbehauptung. Er habe auch gewusst, dass er kein Recht hatte, ihr die Fortbewegungsfreiheit zu entziehen und habe somit vorsätzlich gehandelt. Ob er die Anhalteorte im Vorfeld festgelegt oder jeweils spontan entschieden habe, sei unerheblich (Urteil S. 14 E. 4.3).</w:t>
      </w:r>
    </w:p>
    <w:p>
      <w:r>
        <w:rPr>
          <w:b/>
        </w:rPr>
        <w:t>E. 1.3</w:t>
      </w:r>
    </w:p>
    <w:p>
      <w:r>
        <w:t>Eine Freiheitsberaubung begeht, wer jemanden unrechtmässig festnimmt oder gefangen hält oder jemandem in anderer Weise unrechtmässig die Freiheit entzieht ( Art. 183 Ziff. 1 StGB ). Das geschützte Rechtsgut ist die körperliche Fortbewegungsfreiheit. Die Freiheitsberaubung muss eine gewisse Erheblichkeit aufweisen. Ein kurzfristiges Festhalten genügt nicht. Indessen ist keine lange Dauer vorausgesetzt, einige Minuten sind hinreichend ( BGE 128 IV 73 E. 2a mit Hinweis), eine 7,5 km lange Fahrt ebenfalls ( BGE 89 IV 85 E. 1).</w:t>
      </w:r>
    </w:p>
    <w:p>
      <w:r>
        <w:rPr>
          <w:b/>
        </w:rPr>
        <w:t>E. 1.4</w:t>
      </w:r>
    </w:p>
    <w:p>
      <w:r>
        <w:t>Was der Täter wusste, wollte und in Kauf nahm, betrifft sog. innere Tatsachen und ist somit Tatfrage ( BGE 137 IV 1 E. 4.2.3 S. 4 mit Hinweis). Soweit der Beschwerdeführer geltend macht, seine Ex-Freundin sei freiwillig eingestiegen, oder er habe sich diesbezüglich geirrt, weshalb es massgebend sei, wann sie ihn während der Fahrt gebeten habe, anzuhalten (Beschwerde S. 5 f. Ziff. 4-6), weicht er von den tatsächlichen Feststellungen der Vorinstanz ab, ohne darzutun, warum und inwieweit diese willkürlich sein sollten. Darauf ist nicht einzutreten (vgl. Art. 105 Abs. 1 und Art. 97 Abs. 1 BGG ; BGE 137 III 226 E. 4.2 S. 234 mit Hinweisen). Der Beschwerdeführer brachte seine Ex-Freundin durch physische Gewalt und Drohungen dazu, gegen ihren Willen in seinen Personenwagen zu steigen. Mithin war ihm bereits vor Beginn der Fahrt bewusst, dass sie nicht freiwillig mitkam. Gleichwohl fuhr er los und auf die Autobahn, wo das Fahrzeug nur noch beschränkt angehalten werden kann. Er macht nicht geltend, die betreffende Strecke nicht gekannt zu haben. Insofern ist sein Hinweis, im Unterschied zu BGE 89 IV 85 sei er nicht auf einer Überlandstrasse gefahren, wo jederzeit angehalten werden könne, unbehelflich. Die Vorinstanz erwägt zu Recht, es sei irrelevant, dass er bereits nach einer Fahrminute nur noch beim Rastplatz B.________ die Möglichkeit hatte, anzuhalten. Angesichts der Dauer und Länge der zurückgelegten Fahrt verletzt die Verurteilung wegen Freiheitsberaubung kein Bundesrecht.</w:t>
      </w:r>
    </w:p>
    <w:p>
      <w:r>
        <w:rPr>
          <w:b/>
        </w:rPr>
        <w:t>E. 2</w:t>
      </w:r>
    </w:p>
    <w:p>
      <w:r>
        <w:t>Den Antrag einer milderen Strafe begründet der Beschwerdeführer nicht. Darauf ist nicht einzutreten.</w:t>
      </w:r>
    </w:p>
    <w:p>
      <w:r>
        <w:rPr>
          <w:b/>
        </w:rPr>
        <w:t>E. 3</w:t>
      </w:r>
    </w:p>
    <w:p>
      <w:r>
        <w:t>Die Beschwerde ist abzuweisen, soweit darauf eingetreten werden kann. Das Gesuch um unentgeltliche Rechtspflege ist infolge Aussichtslosigkeit der Beschwerde abzuweisen ( Art. 64 Abs. 1 und 2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