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1063/2015 vom 5. September 2016</w:t>
      </w:r>
    </w:p>
    <w:p>
      <w:r>
        <w:t>Bundesgericht, 2016-09-05, DE</w:t>
      </w:r>
    </w:p>
    <w:p>
      <w:r>
        <w:rPr>
          <w:b/>
        </w:rPr>
        <w:t xml:space="preserve">Quelle: </w:t>
      </w:r>
      <w:r>
        <w:t>https://mcp.opencaselaw.ch/entscheid/bger_6B_1063_2015</w:t>
      </w:r>
    </w:p>
    <w:p>
      <w:r>
        <w:t>FR: TF 6B 1063/2015 du 5 septembre 2016</w:t>
      </w:r>
    </w:p>
    <w:p>
      <w:r>
        <w:t>IT: TF 6B 1063/2015 del 5 settembre 2016</w:t>
      </w:r>
    </w:p>
    <w:p>
      <w:pPr>
        <w:pStyle w:val="Heading2"/>
      </w:pPr>
      <w:r>
        <w:t>Regeste</w:t>
      </w:r>
    </w:p>
    <w:p>
      <w:r>
        <w:t>Nichtanhandnahme (Widerhandlungen gegen das Bundesgesetz gegen den unlauteren Wettbewerb) | Strafprozess</w:t>
      </w:r>
    </w:p>
    <w:p>
      <w:pPr>
        <w:pStyle w:val="Heading2"/>
      </w:pPr>
      <w:r>
        <w:t>Erwägungen</w:t>
      </w:r>
    </w:p>
    <w:p>
      <w:r>
        <w:rPr>
          <w:b/>
        </w:rPr>
        <w:t>E. 1</w:t>
      </w:r>
    </w:p>
    <w:p>
      <w:r>
        <w:t>X.________ erstattete am 5. Januar 2015 Strafanzeige gegen A.________ wegen Widerhandlungen gegen das Bundesgesetz gegen den unlauteren Wettbewerb (UWG; SR 241). Er brachte vor, dieser habe in seiner Funktion als Geschäftsführer eines Reiseveranstalters in Prospekten unrichtige und irreführende Angaben gemacht. Die Staatsanwaltschaft Brugg-Zurzach nahm das Strafverfahren mit Verfügung vom 21. Januar 2015 nicht an die Hand. Die von X.________ dagegen gerichtete Beschwerde wies das Obergericht des Kantons Aargau mit Entscheid vom 1. September 2015 ab. X.________ beantragt mit Beschwerde in Strafsachen, der obergerichtliche Entscheid sei aufzuheben und die Staatsanwaltschaft anzuweisen, ein Strafverfahren einzuleiten und gegebenenfalls Anklage zu erheben.</w:t>
      </w:r>
    </w:p>
    <w:p>
      <w:r>
        <w:rPr>
          <w:b/>
        </w:rPr>
        <w:t>E. 2</w:t>
      </w:r>
    </w:p>
    <w:p>
      <w:r>
        <w:t>Die Privatklägerschaft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dies der Fall wäre (siehe Art. 119 Abs. 2 lit. b StPO ), würde die Staatsanwaltschaft, welche das Verfahren nicht an die Hand nimmt oder einstellt, die Zivilklage nicht behandeln (vgl. Art. 310 Abs. 2 in Verbindung mit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Als Privatklägerschaft gilt die geschädigte Person, die ausdrücklich erklärt, sich am Strafverfahren als Straf- oder Zivilklägerin zu beteiligen ( Art. 118 Abs. 1 StPO ). Die Erklärung, mit der die geschädigte Person kumulativ oder alternativ Strafklage oder adhäsionsweise Zivilklage erheben kann ( Art. 119 Abs. 2 StPO ), ist gegenüber einer Strafverfolgungsbehörde spätestens bis zum Abschluss des Vorverfahrens abzugeben ( Art. 118 Abs. 3 StPO ).</w:t>
      </w:r>
    </w:p>
    <w:p>
      <w:r>
        <w:rPr>
          <w:b/>
        </w:rPr>
        <w:t>E. 4</w:t>
      </w:r>
    </w:p>
    <w:p>
      <w:r>
        <w:t>Der rechtskundige Beschwerdeführer bringt zu seiner Beschwerdeberechtigung vor, er verspreche sich von dem Strafverfahren vorerst, dass geklärt werde, gegen wen sich seine Zivilklage überhaupt richten solle, da der Reiseveranstalter nicht im Handelsregister eingetragen sei. Er "werde - voraussichtlich - auf dem Zivilweg" verschiedene Ansprüche geltend machen, namentlich Rückerstattung der geleisteten Zahlung, Rückreisekosten, Genugtuung und Veröffentlichung des Urteils. Die im Strafverfahren zu klärenden Fragen, insbesondere ob die gebotene Leistung bezüglich Küche und Service den Prospektangaben entsprochen habe, seien auch im Zivilverfahren von Relevanz. Die zu Art. 81 Abs. 1 lit. b Ziff. 5 BGG ergangene Rechtsprechung verlangt, dass sich der angefochtene Entscheid auf die Beurteilung der im Strafverfahren adhäsionsweise geltend gemachten bzw. noch geltend zu machenden Zivilforderungen auswirkt. Aus dem angefochtenen Entscheid ergibt sich nicht, dass der Beschwerdeführer im kantonalen Verfahren solche gestellt hätte. Er bringt auch vor Bundesgericht vor, seine Ansprüche voraussichtlich auf dem Zivilweg geltend machen zu wollen. Der angefochtene Entscheid kann sich demnach nicht auf im Strafverfahren adhäsionsweise erhobene Zivilansprüche auswirken, weshalb der Beschwerdeführer nicht zur Beschwerde in Strafsachen legitimiert ist (vgl. BGE 137 IV 246 E. 1.3.1 S. 248; Urteile 6B_613/2015 vom 26. November 2015 E. 1.3; 6B_1018/2014 vom 26. Januar 2015 E. 5; je mit Hinweis).</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