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1063/2010 vom 23. Dezember 2010</w:t>
      </w:r>
    </w:p>
    <w:p>
      <w:r>
        <w:t>Bundesgericht, 2010-12-23, DE</w:t>
      </w:r>
    </w:p>
    <w:p>
      <w:r>
        <w:rPr>
          <w:b/>
        </w:rPr>
        <w:t xml:space="preserve">Quelle: </w:t>
      </w:r>
      <w:r>
        <w:t>https://mcp.opencaselaw.ch/entscheid/bger_6B_1063_2010</w:t>
      </w:r>
    </w:p>
    <w:p>
      <w:r>
        <w:t>FR: TF 6B 1063/2010 du 23 décembre 2010</w:t>
      </w:r>
    </w:p>
    <w:p>
      <w:r>
        <w:t>IT: TF 6B 1063/2010 del 23 dicembre 2010</w:t>
      </w:r>
    </w:p>
    <w:p>
      <w:pPr>
        <w:pStyle w:val="Heading2"/>
      </w:pPr>
      <w:r>
        <w:t>Regeste</w:t>
      </w:r>
    </w:p>
    <w:p>
      <w:r>
        <w:t>Einstellungsentscheid (falsches ärztliches Zeugnis) | Strafrecht (allgemein)</w:t>
      </w:r>
    </w:p>
    <w:p>
      <w:pPr>
        <w:pStyle w:val="Heading2"/>
      </w:pPr>
      <w:r>
        <w:t>Erwägungen</w:t>
      </w:r>
    </w:p>
    <w:p>
      <w:r>
        <w:rPr>
          <w:b/>
        </w:rPr>
        <w:t>E. 1</w:t>
      </w:r>
    </w:p>
    <w:p>
      <w:r>
        <w:t>Staatsanwaltschaft des Kantons Luzern, Zentralstrasse 28, 6002 Luzern,</w:t>
      </w:r>
    </w:p>
    <w:p>
      <w:r>
        <w:rPr>
          <w:b/>
        </w:rPr>
        <w:t>E. 2</w:t>
      </w:r>
    </w:p>
    <w:p>
      <w:r>
        <w:t>Die Gerichtskosten sind dem Beschwerdeführer aufzuerlegen ( Art. 66 Abs. 1 BGG ). Das Gesuch um unentgeltliche Rechtspflege ist in Anwendung von Art. 64 BGG abzuweisen, weil die Rechtsbegehren einer verspäteten Beschwerde von vornherein aussichtslos sind. Der finanziellen Lage des Beschwerdeführers ist bei der Bemessung der Gerichtsgebühr Rechnung zu tragen ( Art. 65 Abs. 2 BGG ). Dem Beschwerdegegner 2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