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6B_1062/2022 vom 14. Oktober 2022</w:t>
      </w:r>
    </w:p>
    <w:p>
      <w:r>
        <w:t>Bundesgericht, 2022-10-14, DE</w:t>
      </w:r>
    </w:p>
    <w:p>
      <w:r>
        <w:rPr>
          <w:b/>
        </w:rPr>
        <w:t xml:space="preserve">Quelle: </w:t>
      </w:r>
      <w:r>
        <w:t>https://mcp.opencaselaw.ch/entscheid/bger_6B_1062_2022</w:t>
      </w:r>
    </w:p>
    <w:p>
      <w:r>
        <w:t>FR: TF 6B_1062/2022 du 14 octobre 2022</w:t>
      </w:r>
    </w:p>
    <w:p>
      <w:r>
        <w:t>IT: TF 6B_1062/2022 del 14 ottobre 2022</w:t>
      </w:r>
    </w:p>
    <w:p>
      <w:pPr>
        <w:pStyle w:val="Heading2"/>
      </w:pPr>
      <w:r>
        <w:t>Erwägungen</w:t>
      </w:r>
    </w:p>
    <w:p>
      <w:r>
        <w:rPr>
          <w:b/>
        </w:rPr>
        <w:t>E. 1</w:t>
      </w:r>
    </w:p>
    <w:p>
      <w:r>
        <w:t>Oberstaatsanwaltschaft des Kantons Schwyz, Postfach 1201, 6431 Schwyz,</w:t>
      </w:r>
    </w:p>
    <w:p>
      <w:r>
        <w:rPr>
          <w:b/>
        </w:rPr>
        <w:t>E. 2</w:t>
      </w:r>
    </w:p>
    <w:p>
      <w:r>
        <w:t>Der angefochtene Entscheid schliesst das Verfahren nicht ab, sondern weist die Sache zur Anklageerhebung an die Staatsanwaltschaft zurück. Es handelt sich somit um einen Zwischenentscheid. Als solcher ist er nach Art. 93 Abs. 1 BGG mit Beschwerde in Strafsachen nur anfechtbar, wenn er einen nicht wieder gutzumachenden Nachteil rechtlicher Natur bewirken könnte (lit. a), oder wenn die Gutheissung der Beschwerde sofort einen Endentscheid herbeiführen und damit einen bedeutenden Aufwand an Zeit oder Kosten für ein weitläufiges Beweisverfahren ersparen würde (lit. b). Nach ständiger Rechtsprechung zu lit. a ist ein Zwischenentscheid mit Beschwerde in Strafsachen nur ausnahmsweise anfechtbar, wenn ein konkreter rechtlicher Nachteil droht, der auch durch einen für die betroffene Partei günstigen Endentscheid nachträglich nicht mehr behoben werden könnte. Die selbständige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t>Der Beschwerdeführer setzt sich mit der Bestimmung von Art. 93 BGG nicht auseinander. Er macht zur Legitimation nur geltend, ihm drohe die Anklage, weswegen er durch den Beschluss beschwert und damit beschwerdelegitimiert sei.</w:t>
      </w:r>
    </w:p>
    <w:p>
      <w:r>
        <w:t>Das Vorbringen geht an der Sache vorbei. Durch das Nichteintreten auf die vorliegende Beschwerde droht dem Beschwerdeführer kein rechtlicher Nachteil, der im durch die Vorinstanz angeordneten Verfahren nicht behoben werden könnte. Die Vorinstanz hat die Sache zur Anklageerhebung an die Staatsanwaltschaft zurückgewiesen, weshalb der Ausgang des Verfahrens offen und z.B. ein Freispruch durchaus möglich ist (vgl. Urteil 6B_727/2015 vom 6. August 2015 E. 2). Der vorinstanzliche Rückweisungsbeschluss ist folglich unter dem Gesichtspunkt von Art. 93 Abs. 1 lit. a BGG nicht anfechtbar. Dass ein Anwendungsfall von Art. 93 Abs. 1 lit. b BGG gegeben wäre, macht der Beschwerdeführer zu Recht nicht geltend. Eine Gutheissung der Beschwerde würde, was sich auch aus dem Antrag des Beschwerdeführers in seiner Beschwerde ergibt, nicht sofort zu einem Endentscheid führen. Die Eintretensvoraussetzungen von Art. 93 BGG liegen nicht vor.</w:t>
      </w:r>
    </w:p>
    <w:p>
      <w:r>
        <w:rPr>
          <w:b/>
        </w:rPr>
        <w:t>E. 3</w:t>
      </w:r>
    </w:p>
    <w:p>
      <w:r>
        <w:t>Auf die Beschwerde ist im Verfahren nach Art. 108 BGG nicht einzutreten. Dem Beschwerdeführer sind die Gerichtskosten aufzuerlegen (Art. 66 Abs. 1 i.V.m. Art. 65 Abs. 2 BGG ). Der Beschwerdegegnerin 2 ist keine Entschädigung zuzusprechen, da ihr im bundesgerichtlichen Verfahren keine Umtriebe entstanden sind.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