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1062/2020 vom 7. Oktober 2020</w:t>
      </w:r>
    </w:p>
    <w:p>
      <w:r>
        <w:t>Bundesgericht, 2020-10-07, IT</w:t>
      </w:r>
    </w:p>
    <w:p>
      <w:r>
        <w:rPr>
          <w:b/>
        </w:rPr>
        <w:t xml:space="preserve">Quelle: </w:t>
      </w:r>
      <w:r>
        <w:t>https://mcp.opencaselaw.ch/entscheid/bger_6B_1062_2020</w:t>
      </w:r>
    </w:p>
    <w:p>
      <w:r>
        <w:t>FR: TF 6B 1062/2020 du 7 octobre 2020</w:t>
      </w:r>
    </w:p>
    <w:p>
      <w:r>
        <w:t>IT: TF 6B 1062/2020 del 7 ottobre 2020</w:t>
      </w:r>
    </w:p>
    <w:p>
      <w:pPr>
        <w:pStyle w:val="Heading2"/>
      </w:pPr>
      <w:r>
        <w:t>Regeste</w:t>
      </w:r>
    </w:p>
    <w:p>
      <w:r>
        <w:t>Domande di esecuzione e di accertamento della nullità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alla ricorrente e alla Corte di appello e di revisione penale del Cantone Ticino. Losanna, 7 ottobre 2020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