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6B_1062/2017 vom 26. April 2018</w:t>
      </w:r>
    </w:p>
    <w:p>
      <w:r>
        <w:t>Bundesgericht, 2018-04-26, DE</w:t>
      </w:r>
    </w:p>
    <w:p>
      <w:r>
        <w:rPr>
          <w:b/>
        </w:rPr>
        <w:t xml:space="preserve">Quelle: </w:t>
      </w:r>
      <w:r>
        <w:t>https://mcp.opencaselaw.ch/entscheid/bger_6B_1062_2017</w:t>
      </w:r>
    </w:p>
    <w:p>
      <w:r>
        <w:t>FR: TF 6B_1062/2017 du 26 avril 2018</w:t>
      </w:r>
    </w:p>
    <w:p>
      <w:r>
        <w:t>IT: TF 6B_1062/2017 del 26 aprile 2018</w:t>
      </w:r>
    </w:p>
    <w:p>
      <w:pPr>
        <w:pStyle w:val="Heading2"/>
      </w:pPr>
      <w:r>
        <w:t>Erwägungen</w:t>
      </w:r>
    </w:p>
    <w:p>
      <w:r>
        <w:rPr>
          <w:b/>
        </w:rPr>
        <w:t>E. 1</w:t>
      </w:r>
    </w:p>
    <w:p>
      <w:r>
        <w:t>Der Beschwerdeführer kritisiert die Sachverhaltsfeststellung und Beweiswürdigung.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Dem Grundsatz "in dubio pro reo" kommt als Beweiswürdigungsregel im Verfahren vor Bundesgericht keine über das Willkürverbot von Art. 9 BV hinausgehende Bedeutung zu ( BGE 138 V 74 E. 7 mit Hinweisen).</w:t>
      </w:r>
    </w:p>
    <w:p>
      <w:r>
        <w:t>Was der Täter wusste, wollte und in Kauf nahm, betrifft sogenannte innere Tatsachen, und ist damit Tatfrage. Als solche prüft sie das Bundesgericht nur unter dem Gesichtspunkt der Willkür ( Art. 9 BV ; Art. 97 Abs. 1 BGG ; BGE 141 IV 369 E. 6.3 mit Hinweisen). Rechtsfrage ist hingegen, ob im Lichte der festgestellten Tatsachen der Schluss auf Eventualvorsatz begründet ist ( BGE 137 IV 1 E. 4.2.3; 135 IV 152 E. 2.3.2,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134 IV 189 E. 1.3; 133 IV 1 E. 4.1, 9 E. 4.1; je mit Hinweisen).</w:t>
      </w:r>
    </w:p>
    <w:p>
      <w:r>
        <w:rPr>
          <w:b/>
        </w:rPr>
        <w:t>E. 1.2</w:t>
      </w:r>
    </w:p>
    <w:p>
      <w:r>
        <w:t>Die Vorinstanz legt ausführlich und überzeugend dar, weshalb sie den Anklagesachverhalt als erstellt erachtet. Was der Beschwerdeführer dagegen vorbringt, belegt, soweit es den gesetzlichen Anforderungen überhaupt genügt (oben E. 1.1), keine Willkür.</w:t>
      </w:r>
    </w:p>
    <w:p>
      <w:r>
        <w:rPr>
          <w:b/>
        </w:rPr>
        <w:t>E. 1.2.1</w:t>
      </w:r>
    </w:p>
    <w:p>
      <w:r>
        <w:t>Der Beschwerdeführer beschränkt sich im Wesentlichen darauf, der vorinstanzlichen Sachverhaltsfeststellung seine eigene entgegen zu halten, was für die Annahme von Willkür nicht genügt. Dies ist etwa der Fall, wenn er behauptet, die Diskussion mit dem späteren Opfer im Club sei nicht Auslöser des Übergriffs gewesen; tatsächlich sei er vor dem Club provoziert worden. Der Beschwerdeführer bestreitet weder, die Begleiterin des Privatklägers im Club unsittlich berührt zu haben, noch dass die Beteiligten infolge der Diskussion aus dem Club gewiesen wurden. Zudem ist augenscheinlich, dass die Beschuldigten deswegen verärgert waren. Es ist daher nicht zu beanstanden, wenn die Vorinstanz erwägt, das Verhalten des Beschwerdeführers sei der Ursprung der späteren Auseinandersetzung gewesen. Sie verkennt dabei nicht, dass es vor dem Club zum Wortgefecht mit gegenseitigen Handgreiflichkeiten kam, worauf der Beschwerdeführer selber hinweist. Entgegen seiner Darstellung stellt sie ausdrücklich fest, dass auch der Privatkläger aggressiv war und von seiner Begleiterin sowie vom Sicherheitspersonal zurückgehalten werden musste. Im Übrigen ist nicht ersichtlich, was der Beschwerdeführer mit Blick auf den späteren Tatverlauf aus der behaupteten Provokation für sich ableiten will. Hierfür ist unerheblich, wer wen als erstes provozierte.</w:t>
      </w:r>
    </w:p>
    <w:p>
      <w:r>
        <w:rPr>
          <w:b/>
        </w:rPr>
        <w:t>E. 1.2.2</w:t>
      </w:r>
    </w:p>
    <w:p>
      <w:r>
        <w:t>Aufgrund der Videoaufnahmen sowie der nachvollziehbar als glaubhaft beurteilten Zeugenaussagen erachtet die Vorinstanz sodann willkürfrei als erstellt, dass die Beschuldigten den Privatkläger gemeinsam verfolgten und abwechselnd mit Schlägen und Tritten traktierten. Es sei ersichtlich, dass der Beschwerdeführer den ersten Faustschlag von hinten gesetzt habe, worauf ein weiterer Beschuldigter zugeschlagen habe. Ebenso sei klar zu erkennen, dass er dem Privatkläger im Rennen einen Tritt versetze, ihn packe und zu Boden reisse. Letzteres deckt sich mit den Einlassungen des Beschwerdeführers selbst. Soweit er nun behauptet, ein Zubodenreissen sei im Video nicht ersichtlich, widerspricht er seinen eigenen Aussagen. Die Annahme der Vorinstanz ist daher nachvollziehbar. Auch der Einwand, wonach der Privatkläger gestolpert sein könne, belegt keine Willkür. Dies gilt ebenso, wenn er vorbringt, es sei möglich, dass es abseits der Kamera ein Gerangel gegeben habe, er dieses aber nicht begonnen haben will.</w:t>
      </w:r>
    </w:p>
    <w:p>
      <w:r>
        <w:t>Angesichts der räumlichen und zeitlichen Nähe der Beschuldigten zum Tatgeschehen - sie alle rücken innerhalb von vier Sekunden ins Blickfeld der Kamera und führen innert zehn Sekunden mindestens einen Schlag oder Tritt aus - ist auch die Annahme, dass ein gemeinsamer Angriff vorliegt, keineswegs rein spekulativ. Gleichfalls nicht willkürlich ist, wenn die Vorinstanz erwägt, der Beschwerdeführer, welcher den Angriff begann, habe die Übergriffe der beiden anderen mitbekommen. Entgegen seiner Auffassung spielt dabei keine Rolle, ob die ersten Sekunden der Videoaufnahme ein synchrones Bewegungsbild aller Beschuldigten zeigen und daher davon auszugehen ist, dass sie den Privatkläger bereits vorher gemeinsam verfolgten, wie die Vorinstanz annimmt. Dies ist indes unter den dargestellten Umständen nachvollziehbar. Daran ändert auch nichts, ob die Handlungen der einzelnen Beschuldigten in den Videoaufzeichnungen zweifelsfrei erkennbar sind. Selbst wenn im Übrigen anzunehmen wäre, dass die Beschuldigten den Privatkläger nicht synchron verfolgt hätten, steht fest, dass der Beschwerdeführer den Übergriff begann, anschliessend in unmittelbarer Nähe des Tatorts verblieb und dem Privatkläger nach den Tritten eines Mittäters einen weiteren Schlag versetzte, wenngleich er von einer Ohrfeige spricht. Der vorinstanzlich dargestellte Tatablauf illustriert zudem klar ein abwechselndes Vorgehen aller Beschuldigten. Von isolierten Übergriffen oder davon, dass sie von den Tatbeiträgen der anderen nichts mitbekommen haben sollen, kann keine Rede sein. Es entlastet den Beschwerdeführer auch nicht, dass er mit der Zeugin "beschäftigt" war, während die Mitbeschuldigten den Privatkläger mit Tritten traktierten. Er hat deren Wirken jedenfalls nicht unterbunden und damit offensichtlich gebilligt, zumal die Vorinstanz nachvollziehbar ausführt, dass der unmittelbar neben den Mitbeschuldigten stehende Beschwerdeführer das Gesicht stets auf den Tatort richtet und er der Zeugin jeweils lediglich leicht zur Seite auswich. Die Videoaufnahme zeige zudem deutlich, dass er - seiner Behauptung zum Trotz - im Moment, als ein Mitbeschuldigter zum Tritt angesetzt habe, nicht von der Zeugin behelligt worden sei.</w:t>
      </w:r>
    </w:p>
    <w:p>
      <w:r>
        <w:t>Unter Willkürgesichtspunkten nicht zu beanstanden ist schliesslich, wenn die Vorinstanz mit Bezug auf einen weiteren, den Tritten des Mitbeschuldigten folgenden Schlag des Beschwerdeführers erwägt, es sei angesichts der erkennbaren Heftigkeit des Schlages irrelevant, ob dieser mit der Faust oder der offenen Hand ausgeführt worden sei. Wie nachfolgend zu zeigen sein wird, ist dies namentlich für die rechtliche Würdigung des Tatgeschehens ohne Belang (vgl. unten E. 2). Im Übrigen geht die Vorinstanz von der für den Beschwerdeführer günstigeren Annahme aus, nimmt aber zu Recht an, dass ihn dies hinsichtlich der Tatbeiträge der Mitbeschuldigten nicht entlastet. Nicht zu beanstanden ist auch, dass sie den Tatbeitrag nicht isoliert betrachtet.</w:t>
      </w:r>
    </w:p>
    <w:p>
      <w:r>
        <w:rPr>
          <w:b/>
        </w:rPr>
        <w:t>E. 2</w:t>
      </w:r>
    </w:p>
    <w:p>
      <w:r>
        <w:t>Der Beschwerdeführer rügt, es liege weder eine versuchte schwere Körperverletzung vor, noch sei er Mittäter.</w:t>
      </w:r>
    </w:p>
    <w:p>
      <w:r>
        <w:rPr>
          <w:b/>
        </w:rPr>
        <w:t>E. 2.1.1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t>Das Bundesgericht hat sich in seiner jüngeren Rechtsprechung verschiedentlich mit Körperverletzungen in Folge von Fusstritten gegen den Kopf des Opfers zu befassen gehabt, wobei teils die Abgrenzung der einfachen zur versuchten schweren Körperverletzung teils die Abgrenzung der Körperverletzungsdelikte zur versuchten eventualvorsätzlichen Tötung zur Beurteilung stand (vgl. Urteil 6B_1180/2015 vom 13. Mai 2016 E. 3.1 mit Hinweisen).</w:t>
      </w:r>
    </w:p>
    <w:p>
      <w:r>
        <w:rPr>
          <w:b/>
        </w:rPr>
        <w:t>E. 2.1.2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 BGE 137 IV 1 E. 4.2.3; 133 IV 9 E. 4.1 und 222 E. 5.3, je mit Hinweisen).</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auf den Willen schliessen, wenn sich dem Täter der Eintritt des Erfolgs als so wahrscheinlich aufdrängte, dass die Bereitschaft, ihn als Folge hinzunehmen, vernünftigerweise nur als Inkaufnahme des Erfolgs ausgelegt werden kann ( BGE 137 IV 1 E. 4.2.3; 135 IV 12 E. 2.3.2; 134 IV 26 E. 3.2.2;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Solche liegen namentlich vor, wenn der Täter das ihm bekannte Risiko nicht kalkulieren und dosieren kann und das Opfer keine Abwehrchancen hat ( BGE 133 IV 9 E. 4.1; 131 IV 1 E. 4.5; 131 IV 1 E. 2.2).</w:t>
      </w:r>
    </w:p>
    <w:p>
      <w:r>
        <w:rPr>
          <w:b/>
        </w:rPr>
        <w:t>E. 2.1.3</w:t>
      </w:r>
    </w:p>
    <w:p>
      <w:r>
        <w:t>Weder das StGB noch die StPO enthalten eine Legaldefinition der Täterschaft bzw. Mittäterschaft.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Es genügt, dass er sich später den Vorsatz seiner Mittäter zu eigen macht ( BGE 135 IV 152 E. 2.3.1; 134 IV 1 E. 4.2.3).</w:t>
      </w:r>
    </w:p>
    <w:p>
      <w:r>
        <w:rPr>
          <w:b/>
        </w:rPr>
        <w:t>E. 2.2</w:t>
      </w:r>
    </w:p>
    <w:p>
      <w:r>
        <w:t>Nach dem zum Sachverhalt Gesagten ist der Schuldspruch wegen versuchter schwerer Körperverletzung im Sinne von Art. 122 StGB (i.V.m. Art. 22 Abs. 1 StGB ) bundesrechtskonform.</w:t>
      </w:r>
    </w:p>
    <w:p>
      <w:r>
        <w:rPr>
          <w:b/>
        </w:rPr>
        <w:t>E. 2.2.1</w:t>
      </w:r>
    </w:p>
    <w:p>
      <w:r>
        <w:t>Es ist erstellt, dass der Beschwerdeführer den Übergriff auf den Privatkläger zusammen mit einem Mitbeschuldigten begann und ihn zu Boden riss. Unbestritten ist ferner, dass der Privatkläger Körperverletzungen von "vergleichsweise geringer" Schwere - eine leichte Gehirnerschütterung und eine Bindehautblutung am rechten Auge - erlitt. Wie die Vorinstanz zutreffend erwägt, hat der Beschwerdeführer im Rahmen des inkriminierten Übergriffs mit seinen Handlungen einen ersten entscheidenden Tatbeitrag geleistet. Er war massgeblich dafür verantwortlich, dass der Privatkläger zu Boden ging und damit den Tritten und Schlägen der Mitbeschuldigten ausgeliefert war. Ob er für die Auseinandersetzung insgesamt verantwortlich ist, ist entgegen seiner Auffassung irrelevant. Die Vorinstanz stellt zudem willkürfrei fest, dass er die aggressive Stimmung des Mitbeschuldigten, welcher mit ihm des Clubs verwiesen wurde, realisiert hat. Wenn sie daraus schliesst, er habe bei seinem Angriff in Kauf genommen, dass sich der Mitbeschuldigte einmischen und dem Privatkläger schwere Verletzungen zufügen könnte, ist dies nachvollziehbar. Inwiefern es lebensfremd sein soll, wie der Beschwerdeführer meint, ist unerfindlich. Auch kann gerade mit Bezug auf den Beschwerdeführer von einem isolierten Vorgehen keine Rede sein, da er mit einem Mitbeschuldigten zusammen agierte. Dies gilt umso mehr, als er nach seinem eigenen Angriff am Tatort verblieb und dem Privatkläger nach den Tritten eines Mitbeschuldigten einen weiteren Schlag, gegebenenfalls eine Ohrfeige, versetzte.</w:t>
      </w:r>
    </w:p>
    <w:p>
      <w:r>
        <w:rPr>
          <w:b/>
        </w:rPr>
        <w:t>E. 2.2.2</w:t>
      </w:r>
    </w:p>
    <w:p>
      <w:r>
        <w:t>Aufgrund des erstellten Sachverhalts geht die Vorinstanz zu Recht von einer Billigung des Beschwerdeführers hinsichtlich der Tatbeiträge der Mitbeschuldigten und damit von einem mittäterschaftlichen Handeln aller Beteiligten aus und rechnet dem Beschwerdeführer die Tatbeiträge der Mitbeschuldigten an. Dass sich diese nicht ausdrücklich absprachen, spricht ebenso wenig gegen die Annahme von Mittäterschaft, wie der Umstand, dass sich ein Beschuldigter dem Übergriff der beiden anderen angeschlossen hat (oben E. 2.1.3). Mit seinen Ausführungen bezüglich Mittäterschaft entfernt sich der Beschwerdeführer vom für das Bundesgericht verbindlich festgestellten Sachverhalt, ohne Willkür darzutun. Sein Einwand, wonach er mit den eigenen Handlungen keine schwere Verletzung gewollt oder verursacht habe, geht angesichts des mittäterschaftlichen Vorgehens fehl. Es kommt auch nicht darauf an, dass er dem Privatkläger trotz der Möglichkeit hierzu keine weiteren Verletzungen, namentlich keine Tritte, zufügte. Ebenso wenig kann von einem Exzess der Mittäter die Rede sein, nachdem für das Bundesgericht verbindlich feststeht, dass der Beschwerdeführer den Angriff im Wissen um die Aggressivität der Mitbeschuldigten und die gemeinsame Übermacht begann und schwere Verletzungen des Privatklägers durch Handlungen der Mitbeschuldigten in Kauf nahm (oben E. 2.2.1). Es ist auch nicht erkennbar, dass er das Verhalten der Mitbeschuldigten missbilligt hätte. Er hat vielmehr selber einen Tritt gegen den Privatkläger - wenn auch nicht gegen dessen Kopf - ausgeführt. Dass er am Ende kurz stehen geblieben sein soll, was die Vorinstanz willkürfrei anders interpretiert, begründet keine Missbilligung, zumal er die Mitbeschuldigten unbestritten nicht von ihrem Tun abgehalten hat.</w:t>
      </w:r>
    </w:p>
    <w:p>
      <w:r>
        <w:rPr>
          <w:b/>
        </w:rPr>
        <w:t>E. 3</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