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6B_1060/2014 vom 1. September 2015</w:t>
      </w:r>
    </w:p>
    <w:p>
      <w:r>
        <w:t>Bundesgericht, 2015-09-01, FR</w:t>
      </w:r>
    </w:p>
    <w:p>
      <w:r>
        <w:rPr>
          <w:b/>
        </w:rPr>
        <w:t xml:space="preserve">Quelle: </w:t>
      </w:r>
      <w:r>
        <w:t>https://mcp.opencaselaw.ch/entscheid/bger_6B_1060_2014</w:t>
      </w:r>
    </w:p>
    <w:p>
      <w:r>
        <w:t>FR: TF 6B_1060/2014 du 1 septembre 2015</w:t>
      </w:r>
    </w:p>
    <w:p>
      <w:r>
        <w:t>IT: TF 6B_1060/2014 del 1 settembre 2015</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ne consacre aucun développement à la question des prétentions civiles dans son mémoire de recours au Tribunal fédéral. En particulier, il ne démontre pas en quoi il subirait un dommage découlant de l'infraction de blanchiment autre que le dommage résultant de l'escroquerie. Or, il ressort des constatations cantonales, que le recourant a obtenu l'entier de ses conclusions par la condamnation de A.________ et B.________, par jugement de la Cour d'appel d'Abidjan du 17 juillet 2013, à lui payer la somme de 320'000 EUR, couvrant d'une part son préjudice du fait de l'escroquerie dont ils ont été reconnus coupables à hauteur de 270'000 EUR et d'autre part un montant de 50'000 EUR au titre de ses prétentions en tort moral et autres préjudices financiers. Il n'expose d'aucune manière en quoi il subsisterait un dommage non réparé. Aussi, l'absence de toute explication circonstanciée, dans la configuration d'espèce, suffit pour exclure sa qualité pour recourir. Il s'ensuit que le recours est irrecevable en tant qu'il porte sur le fond de la cause.</w:t>
      </w:r>
    </w:p>
    <w:p>
      <w:r>
        <w:rPr>
          <w:b/>
        </w:rPr>
        <w:t>E. 2.1</w:t>
      </w:r>
    </w:p>
    <w:p>
      <w:r>
        <w:t>Au surplus, il n'y a pas non plus lieu d'entrer en matière sur les critiques dirigées contre l'ordonnance du ministère public, seule pouvant être attaquée devant le Tribunal fédéral la décision prise par la Chambre pénale de recours de la Cour de justice, autorité cantonale de dernière instance ( art. 80 al. 1 LTF ). Enfin, en tant que le recourant se borne à soutenir que la cour cantonale n'a pas correctement évalué la situation juridique à la lumière des faits de la cause, sa critique, dépourvue de toute motivation, est irrecevable ( art. 42 al. 1 LTF ).</w:t>
      </w:r>
    </w:p>
    <w:p>
      <w:r>
        <w:rPr>
          <w:b/>
        </w:rPr>
        <w:t>E. 2.2</w:t>
      </w:r>
    </w:p>
    <w:p>
      <w:r>
        <w:t>Enfin, le recourant ne fait valoir aucune violation de ses droits procéduraux (cf. art. 81 al. 1 let. b ch. 6 LTF; voir ATF 141 IV 1 consid. 1.1 p. 4).</w:t>
      </w:r>
    </w:p>
    <w:p>
      <w:r>
        <w:rPr>
          <w:b/>
        </w:rPr>
        <w:t>E. 3</w:t>
      </w:r>
    </w:p>
    <w:p>
      <w:r>
        <w:t>Il s'ensuit que le recours est irrecevable. 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