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1059/2016 vom 21. September 2017</w:t>
      </w:r>
    </w:p>
    <w:p>
      <w:r>
        <w:t>Bundesgericht, 2017-09-21, FR</w:t>
      </w:r>
    </w:p>
    <w:p>
      <w:r>
        <w:rPr>
          <w:b/>
        </w:rPr>
        <w:t xml:space="preserve">Quelle: </w:t>
      </w:r>
      <w:r>
        <w:t>https://mcp.opencaselaw.ch/entscheid/bger_6B_1059_2016</w:t>
      </w:r>
    </w:p>
    <w:p>
      <w:r>
        <w:t>FR: TF 6B 1059/2016 du 21 septembre 2017</w:t>
      </w:r>
    </w:p>
    <w:p>
      <w:r>
        <w:t>IT: TF 6B 1059/2016 del 21 settembre 2017</w:t>
      </w:r>
    </w:p>
    <w:p>
      <w:pPr>
        <w:pStyle w:val="Heading2"/>
      </w:pPr>
      <w:r>
        <w:t>Regeste</w:t>
      </w:r>
    </w:p>
    <w:p>
      <w:r>
        <w:t>Injure, opposition aux actes de l'autorité; arbitraire, présomption d'innocence | Infractions</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 in dubio pro reo " n'a pas de portée plus large que l'interdiction de l'arbitraire ( ATF 138 V 74 consid. 7 p. 82).</w:t>
      </w:r>
    </w:p>
    <w:p>
      <w:r>
        <w:rPr>
          <w:b/>
        </w:rPr>
        <w:t>E. 1.2</w:t>
      </w:r>
    </w:p>
    <w:p>
      <w:r>
        <w:t>La cour cantonale a fondé sa conviction sur les déclarations des deux agents de police qui ont procédé à l'interpellation du recourant en retenant qu'elles étaient cohérentes et constantes alors que le recourant avait tenu des propos pour le moins contradictoires et incohérents, notamment en affirmant d'une part qu'il avait eu très peur pour sa vie, qu'il avait craché sous le coup de l'émotion, alors qu'il avait également soutenu d'autre part qu'il avait été très calme au cours de l'intervention. En outre, rien ne permettait de retenir que l'intervention des agents n'était pas légitime et proportionnée et que le recourant aurait été victime d'un acharnement particulier de la part des agents. On ne pouvait considérer que les policiers avaient entravé la route du prévenu de façon inappropriée et inattendue, et encore moins que cela eût pu constituer une atteinte justifiant l'application de l' art. 177 al. 2 CP . Au vu du déroulement de l'interpellation qui s'était effectuée sur une distance de 1,6 km, le recourant ne pouvait ignorer les signes l'invitant à s'arrêter et à obtempérer à un simple contrôle routier.</w:t>
      </w:r>
    </w:p>
    <w:p>
      <w:r>
        <w:rPr>
          <w:b/>
        </w:rPr>
        <w:t>E. 1.3</w:t>
      </w:r>
    </w:p>
    <w:p>
      <w:r>
        <w:t>Pour l'essentiel, le recourant reproche à la cour cantonale d'avoir privilégié la version des agents de police à la sienne. Ce faisant, il n'expose ni ne développe en quoi l'appréciation de l'autorité précédente quant à la crédibilité des déclarations des intimés serait arbitraire. Il ne discute pas davantage les motifs pour lesquels ses propres déclarations ont été jugées contradictoires et partant peu crédibles. Pour le reste, le recourant développe une argumentation purement appellatoire et, partant, irrecevable, dans laquelle il rediscute librement l'appréciation des preuves à laquelle s'est livrée la cour cantonale pour tenter la démonstration que les agents auraient agi de manière disproportionnée et non conforme aux prescriptions élémentaires de sécurité, comme lorsqu'il soutient que la version des faits qui ressort du rapport de police n'est absolument pas plausible sans développer en quoi et au vu de quels éléments le rapport de police serait incomplet ou faux. Le grief est rejeté dans la faible mesure de sa recevabilité.</w:t>
      </w:r>
    </w:p>
    <w:p>
      <w:r>
        <w:rPr>
          <w:b/>
        </w:rPr>
        <w:t>E. 1.4</w:t>
      </w:r>
    </w:p>
    <w:p>
      <w:r>
        <w:t>Le recourant reproche à l'autorité précédente de ne pas avoir administré des preuves complémentaires, comme la production d'un bulletin météo, l'audition du planton ou une visite des lieux. Si l'autorité de recours peut d'office administrer certaines preuves complémentaires nécessaires au traitement du recours ( art. 389 al. 3 CPP ), il n'y a néanmoins pas lieu, conformément à l' art. 139 al. 2 CPP , d'administrer des preuves sur des faits non pertinents, notoires, connus de l'autorité ou déjà suffisamment prouvés. Le défaut d'instruction par l'autorité de recours ne viole le droit fédéral que si l'appréciation anticipée de la pertinence du moyen de preuve offert, à laquelle le juge a procédé, est entachée d'arbitraire ( ATF 141 I 60 consid. 3.3 p. 64 et les réf. citées), ce qu'il incombe au recourant de démontrer conformément aux exigences accrues de motivation de l' art. 106 al. 2 LTF . En l'espèce, le recourant ne dit mot sur la pertinence des moyens de preuves énoncés, étant rappelé que dûment assisté d'un avocat lors de la procédure cantonale, il n'a requis pour sa part, aucun moyen de preuve. Le grief est irrecevable.</w:t>
      </w:r>
    </w:p>
    <w:p>
      <w:r>
        <w:rPr>
          <w:b/>
        </w:rPr>
        <w:t>E. 1.5</w:t>
      </w:r>
    </w:p>
    <w:p>
      <w:r>
        <w:t>Contrairement à ce que soutient le recourant, l'appréciation de l'autorité précédente ne consacre pas un renversement du fardeau de la preuve; en effet, elle ne repose pas sur l'absence de démonstration de son innocence par le recourant, mais sur l'appréciation des preuves disponibles.</w:t>
      </w:r>
    </w:p>
    <w:p>
      <w:r>
        <w:rPr>
          <w:b/>
        </w:rPr>
        <w:t>E. 1.6</w:t>
      </w:r>
    </w:p>
    <w:p>
      <w:r>
        <w:t>C'est à tort enfin qu'il prétend que l'autorité précédente n'a pas pris en considération l'absence d'infraction à la LCR de sa part à l'origine de l'incident. La cour cantonale s'est prononcée sur ce point en relevant notamment que l'absence d'infraction, fût-elle établie, ce qu'il n'y avait pas lieu de trancher vu la prescription intervenue sur cette question, ne rendait pas sur le principe une intervention policière disproportionnée et ne justifiait en aucun cas de cracher sur un véhicule de police. Il était évident que les usagers de la route devaient obtempérer à toute injonction des agents sans qu'ils soient nécessaires qu'ils en comprennent auparavant les motifs. Le recourant ne discute pas plus avant cette motivation. Aussi, autant qu'il se plaint d'un défaut de motivation, le grief est infondé.</w:t>
      </w:r>
    </w:p>
    <w:p>
      <w:r>
        <w:rPr>
          <w:b/>
        </w:rPr>
        <w:t>E. 1.7</w:t>
      </w:r>
    </w:p>
    <w:p>
      <w:r>
        <w:t>Pour le surplus, le recourant ne discute pas les conditions d'application des infractions d'injure et d'opposition aux actes de l'autorité ni la peine infligée ( art. 42 al. 2 LTF ). La cause ne sera pas revue sous cet angle.</w:t>
      </w:r>
    </w:p>
    <w:p>
      <w:r>
        <w:rPr>
          <w:b/>
        </w:rPr>
        <w:t>E. 2</w:t>
      </w:r>
    </w:p>
    <w:p>
      <w:r>
        <w:t>Au vu de ce qui précède, le recours doit être rejeté dans la mesure où il est recevable.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