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6B_1059/2014 vom 8. Oktober 2015</w:t>
      </w:r>
    </w:p>
    <w:p>
      <w:r>
        <w:t>Bundesgericht, 2015-10-08, FR</w:t>
      </w:r>
    </w:p>
    <w:p>
      <w:r>
        <w:rPr>
          <w:b/>
        </w:rPr>
        <w:t xml:space="preserve">Quelle: </w:t>
      </w:r>
      <w:r>
        <w:t>https://mcp.opencaselaw.ch/entscheid/bger_6B_1059_2014</w:t>
      </w:r>
    </w:p>
    <w:p>
      <w:r>
        <w:t>FR: TF 6B_1059/2014 du 8 octobre 2015</w:t>
      </w:r>
    </w:p>
    <w:p>
      <w:r>
        <w:t>IT: TF 6B_1059/2014 del 8 ottobre 2015</w:t>
      </w:r>
    </w:p>
    <w:p>
      <w:pPr>
        <w:pStyle w:val="Heading2"/>
      </w:pPr>
      <w:r>
        <w:t>Erwägungen</w:t>
      </w:r>
    </w:p>
    <w:p>
      <w:r>
        <w:rPr>
          <w:b/>
        </w:rPr>
        <w:t>E. 1</w:t>
      </w:r>
    </w:p>
    <w:p>
      <w:r>
        <w:t>Le jugement attaqué, qui est final,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est donc exclu ( art. 113 LTF ).</w:t>
      </w:r>
    </w:p>
    <w:p>
      <w:r>
        <w:rPr>
          <w:b/>
        </w:rPr>
        <w:t>E. 2.1.1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2.1.2</w:t>
      </w:r>
    </w:p>
    <w:p>
      <w:r>
        <w:t>Indépendamment de sa qualité pour recourir sur le fond, celui qui se prétend lésé par une infraction peut invoquer la violation de droits que le code de procédure pénale ou le droit constitutionnel lui reconnaît comme partie à la procédure, lorsque cette violation équivaut à un déni de justice formel ( ATF 141 IV 1 consid. 1.1). La possibilité d'invoquer des garanties procédurales ne lui permet cependant pas de remettre en cause, même de façon indirecte, le jugement au fond. Le recourant ne peut ni critiquer l'appréciation des preuves ni faire valoir que la motivation n'est pas correcte d'un point de vue matériel ( ATF 136 I 323 consid. 1.2 p. 326; 136 IV 41 consid. 1.4 p. 44, 29 consid. 1.9 p. 40; 133 IV 228 consid. 2.3.2 p. 232 s. et les références citées).</w:t>
      </w:r>
    </w:p>
    <w:p>
      <w:r>
        <w:rPr>
          <w:b/>
        </w:rPr>
        <w:t>E. 2.2</w:t>
      </w:r>
    </w:p>
    <w:p>
      <w:r>
        <w:t>Par une brève détermination du 25 septembre 2006, le recourant a conclu à un dommage approximatif de 100'000 francs. Il était en effet interpellé par le juge d'instruction cantonal, qui lui demandait de formuler des conclusions, même approximatives, afin de déterminer si la plainte déposée était de la compétence de son office (cf. ordon-nance attaquée p. 1 let. A). Dans son recours cantonal, il s'est également référé à un préjudice de 100'000 fr. en relation avec la violation du principe de la célérité (ordonnance attaquée, consid. 4, p. 16). La seule allégation de ce préjudice ne saurait toutefois suffire pour fonder la qualité pour recourir du recourant. D'une part, ce préjudice n'est qu'approximatif. D'autre part, la jurisprudence exige que la partie plaignante explique, dans son mémoire au Tribunal fédéral, quelles prétentions civiles elle entend faire valoir contre l'intimé. Or, dans son mémoire de recours au Tribunal fédéral, le recourant ne consacre aucun développement à cette question.</w:t>
      </w:r>
    </w:p>
    <w:p>
      <w:r>
        <w:t>L'absence de toute explication sur ce point exclut la qualité pour recourir du recourant sur le fond de la cause. Dans la mesure où le recourant reproche à la cour cantonale de ne pas avoir retenu les infractions d'abus de confiance et de gestion déloyale, qu'il se plaint de l'établissement arbitraire des faits ou qu'il critique l'administration des preuves (notamment le refus d'une expertise financière ou d'édition de certains documents), ses griefs sont donc irrecevables. En revanche, le recourant a la qualité pour invoquer la violation du principe de la célérité qui est liée à sa qualité de partie.</w:t>
      </w:r>
    </w:p>
    <w:p>
      <w:r>
        <w:rPr>
          <w:b/>
        </w:rPr>
        <w:t>E. 3</w:t>
      </w:r>
    </w:p>
    <w:p>
      <w:r>
        <w:t>Se fondant sur l' art. 29 Cst. et l' art. 6 CEDH , le recourant demande qu'il soit constaté que le canton du Valais a violé le principe de la célérité.</w:t>
      </w:r>
    </w:p>
    <w:p>
      <w:r>
        <w:rPr>
          <w:b/>
        </w:rPr>
        <w:t>E. 3.1</w:t>
      </w:r>
    </w:p>
    <w:p>
      <w:r>
        <w:t>L' 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124 I 139 consid. 2c; 119 Ib 311 consid. 5; 107 Ib 160 consid. 3c; cf. ATF 130 I 269 consid. 3.1). Le type de procédure, la difficulté de la cause et le comportement des parties sont notamment déterminants, mais non des circonstances sans rapport avec le litige, telle une organisation déficiente ou une surcharge structurelle de l'autorité ( ATF 122 IV 103 consid. 1; 107 Ib 160 consid. 3c). On ne saurait cependant reprocher à l'autorité quelques temps morts, inévitables dans une procédure (ATF 124 et 119 précités). Enfin, la nécessité d'une instruction complète l'emporte sur l'exigence de la célérité de la procédure ( ATF 119 Ib 311 consid. 5; arrêt 4A_153/2009 du 1er mai 2009 consid. 3.2.1).</w:t>
      </w:r>
    </w:p>
    <w:p>
      <w:r>
        <w:rPr>
          <w:b/>
        </w:rPr>
        <w:t>E. 3.2</w:t>
      </w:r>
    </w:p>
    <w:p>
      <w:r>
        <w:t>En l'espèce, par décision du 7 octobre 2008, la Chambre pénale du Tribunal cantonal valaisan a admis la plainte du recourant du 5 septembre 2008 pour retard injustifié. Dans sa décision du 18 février 2013, elle a constaté une nouvelle violation du principe de la célérité. Ainsi, la cour cantonale a déjà constaté la violation du principe de la célérité pour la période précédent le 18 février 2013, et il n'y a pas lieu de revenir sur cette question. Depuis cette date, il s'est écoulé une année jusqu'au prononcé de l'ordonnance de classement le 7 février 2014, puis un peu plus de six mois jusqu'au prononcé de l'ordonnance attaquée le 30 septembre 2014. Ces délais sont certes longs; ils ne sauraient toutefois être qualifiés d'excessifs ou de choquants vu le nombre des infractions dénoncées. Le grief de violation du principe de la célérité doit donc être rejeté.</w:t>
      </w:r>
    </w:p>
    <w:p>
      <w:r>
        <w:rPr>
          <w:b/>
        </w:rPr>
        <w:t>E. 4</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