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1058/2020 vom 1. April 2021</w:t>
      </w:r>
    </w:p>
    <w:p>
      <w:r>
        <w:t>Bundesgericht, 2021-04-01, FR</w:t>
      </w:r>
    </w:p>
    <w:p>
      <w:r>
        <w:rPr>
          <w:b/>
        </w:rPr>
        <w:t xml:space="preserve">Quelle: </w:t>
      </w:r>
      <w:r>
        <w:t>https://mcp.opencaselaw.ch/entscheid/bger_6B_1058_2020</w:t>
      </w:r>
    </w:p>
    <w:p>
      <w:r>
        <w:t>FR: TF 6B 1058/2020 du 1 avril 2021</w:t>
      </w:r>
    </w:p>
    <w:p>
      <w:r>
        <w:t>IT: TF 6B 1058/2020 del 1 aprile 2021</w:t>
      </w:r>
    </w:p>
    <w:p>
      <w:pPr>
        <w:pStyle w:val="Heading2"/>
      </w:pPr>
      <w:r>
        <w:t>Regeste</w:t>
      </w:r>
    </w:p>
    <w:p>
      <w:r>
        <w:t>Ordonnance de non-entrée en matière (injures, lésions corporelles) | Procédure pénale</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Les mêmes exigences sont requises à l'égard de celui qui se plaint d'infractions attentatoires à l'honneur (cf. parmi d'autres: arrêts 6B_17/2020 du 7 avril 2020 consid. 1.1; 6B_175/2020 du 2 mars 2020 consid. 2.1; 6B_673/2019 du 31 octobre 2019 consid. 1.1).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6B_210/2020 du 11 novembre 2020 consid. 1.2.2; 6B_17/2020 du 7 avril 2020 consid. 1.1; 6B_673/2019 du 31 octobre 2019 consid. 1.1 et les références citées). Si la partie plaignante se plaint d'infractions distinctes, elle doit mentionner, par rapport à chacune d'elles, en quoi consiste son dommage (arrêts 6B_356/2020 du 24 avril 2020 consid. 2.1; 6B_199/2020 du 9 avril 2020 consid. 1.1; 6B_1444/2019 du 4 mars 2020 consid. 2.1).</w:t>
      </w:r>
    </w:p>
    <w:p>
      <w:r>
        <w:rPr>
          <w:b/>
        </w:rPr>
        <w:t>E. 1.2</w:t>
      </w:r>
    </w:p>
    <w:p>
      <w:r>
        <w:t>Le recourant a participé à la procédure de dernière instance cantonale. Il relève que les lésions corporelles sont constatées médicalement et qu'il a été en incapacité de travail immédiatement à la suite de la bagarre, en se fondant sur les certificats médicaux versés au dossier. Le recourant soutient qu'il a été gravement atteint dans son intégrité physique et qu'il demeure traumatisé par les violences qu'il dénonce. Il fait valoir une indemnité de l'ordre de 15'000 fr. à ce titre, à laquelle s'ajoutent les frais médicaux non remboursés par les assurances maladie et accident. Ces allégations suffisent à reconnaître sa qualité pour recourir s'agissant des infractions en lien avec les lésions corporelles dénoncées (cf. ATF 135 IV 152 et 118 IV 227 s'agissant du concours entre l' art. 134 CP et les art. 122 ss CP ).</w:t>
      </w:r>
    </w:p>
    <w:p>
      <w:r>
        <w:rPr>
          <w:b/>
        </w:rPr>
        <w:t>E. 1.3</w:t>
      </w:r>
    </w:p>
    <w:p>
      <w:r>
        <w:t>Le recourant ne distingue pas, sur le plan des conclusions civiles, les infractions de lésions corporelles des injures et des menaces qu'il dénonce. Concernant ces deux dernières infractions, il ne démontre pas à satisfaction de droit en quoi les atteintes subies présenteraient la gravité objective et subjective que la jurisprudence exige pour l'allocation d'une indemnité pour tort moral. La gravité des faits dénoncés et des atteintes censées en découler ne s'imposent pas comme une évidence. Le recourant échoue à démontrer sa qualité pour recourir sur le fond de la cause s'agissant des infractions d'injures et de menace.</w:t>
      </w:r>
    </w:p>
    <w:p>
      <w:r>
        <w:rPr>
          <w:b/>
        </w:rPr>
        <w:t>E. 2</w:t>
      </w:r>
    </w:p>
    <w:p>
      <w:r>
        <w:t>Le recourant reproche à la cour cantonale d'avoir fait une application erronée du principe "in dubio pro duriore" et d'avoir violé l' art. 310 CPP .</w:t>
      </w:r>
    </w:p>
    <w:p>
      <w:r>
        <w:rPr>
          <w:b/>
        </w:rPr>
        <w:t>E. 2.1</w:t>
      </w:r>
    </w:p>
    <w:p>
      <w:r>
        <w:t>Conformément à l' art. 310 al. 1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Cette disposition doit être appliquée dans le respect de l'adage "in dubio pro duriore". Celui-ci découle du principe de la légalité (voir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p. 243; arrêt 6B_127/2019 du 9 septembre 2019 consid. 4.1.1 non publié in ATF 145 IV 462 ; cf. ATF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(arrêt 6B_127/2019 du 9 septembre 2019 consid. 4.1.2 non publié in ATF 145 IV 462 ; cf. ATF 143 IV 241 consid. 2.3.2 p. 244 et les références citées s'agissant du classement).</w:t>
      </w:r>
    </w:p>
    <w:p>
      <w:r>
        <w:rPr>
          <w:b/>
        </w:rPr>
        <w:t>E. 2.2</w:t>
      </w:r>
    </w:p>
    <w:p>
      <w:r>
        <w:t>Les infractions de lésions corporelles graves et simples sont régies par les art. 122 et 123 CP . Sur le plan objectif, l' art. 122 CP suppose un comportement dangereux, une atteinte grave à l'intégrité physique ou à la santé, ainsi qu'un lien de causalité entre ces deux éléments (cf. notamment arrêt 6B_922/2018 du 9 janvier 2020 consid. 4.1). L' art. 123 CP réprime les lésions du corps humain ou de la santé qui ne peuvent être qualifiées de graves au sens de l' art. 122 CP (cf. arrêts 6B_782/2020 du 7 janvier 2021 consid. 3; 6B_385/2020 du 12 août 2020 consid. 2).</w:t>
      </w:r>
    </w:p>
    <w:p>
      <w:r>
        <w:rPr>
          <w:b/>
        </w:rPr>
        <w:t>E. 2.3</w:t>
      </w:r>
    </w:p>
    <w:p>
      <w:r>
        <w:t>Se fondant sur les déclarations faites à la police par le recourant, B.________ (le 27 mai 2019) et D.________, responsable de la sécurité (le 7 septembre 2019), la cour cantonale a relevé que les versions des divers protagonistes concordaient toutes sur le fait que l'intervention des policiers avait été requise à la suite d'une bagarre impliquant plusieurs personnes. Elle a toutefois relevé qu'aucune des personnes auditionnées par la police, dont D.________, n'avait vu B.________ frapper le recourant. En outre, les bandes de vidéosurveillance de la discothèque n'avaient pas pu être extraites, ayant été automatiquement détruites 4 jours après les événements. Selon la cour cantonale, hormis les déclarations du recourant - qui était fortement alcoolisé, ce qui amenuisait sa crédibilité -, le dossier ne révélait aucun indice concret et concluant, laissant à penser que B.________ eût pris part à la bagarre et fut l'auteur des lésions subies par le recourant. Ne voyant pas quel acte d'enquête aurait permis d'identifier les auteurs des lésions corporelles constatées, la cour cantonale a considéré que rien n'indiquait qu'une confrontation des protagonistes, telle que requise par le recourant, eût permis de faire avancer la procédure, ayant tout lieu de penser qu'ils maintiendraient leur version. Le temps écoulé depuis le déroulement des faits en cause ne permettait pas davantage d'envisager d'autres actes d'instruction susceptibles d'identifier le ou les auteurs. En définitive, la cour cantonale a considéré que la prévention de lésions corporelles n'était pas établie avec une vraisemblance suffisante pour justifier l'ouverture d'une procédure pénale.</w:t>
      </w:r>
    </w:p>
    <w:p>
      <w:r>
        <w:rPr>
          <w:b/>
        </w:rPr>
        <w:t>E. 2.4</w:t>
      </w:r>
    </w:p>
    <w:p>
      <w:r>
        <w:t>Selon le recourant, les autorités pénales auraient dû examiner les motifs pour lesquels les enregistrements vidéos de la discothèque n'ont pas été sauvegardés. Il considère en outre que la cour cantonale ne pouvait examiner la crédibilité de ses déclarations en retenant qu'il était fortement alcoolisé, alors qu'il présentait une alcoolémie de 0.65 mg/l. Il conteste la valeur probante des déclarations de D.________, dès lors d'une part, qu'en tant qu'employeur de B.________, il serait civilement responsable d'un acte illicite de ce dernier et, d'autre part, qu'il a été interrogé quatre mois après celui-ci, ce qui implique une collusion évidente. Ainsi que le relève le recourant, la motivation cantonale ne saurait être suivie. Alors que la police a été sollicitée par le responsable de la sécurité, à la suite d'une bagarre devant la discothèque, lors de laquelle plusieurs personnes "rouaient de coups" le recourant et l'ont laissé "ensanglanté" , les images de vidéosurveillance de l'établissement n'ont pas été sauvegardées et ont été détruites quatre jours après l'altercation. Or, dans ces circonstances, les autorités ne pouvaient se contenter de cette seule constatation, sans interroger les personnes concernées sur les motifs du défaut de sauvegarde des images. En outre, B.________, nommément mis en cause par le recourant, a été entendu par la police le 27 mai 2019, à savoir plus de six mois après le dépôt de la plainte pénale. L'audition, par la police, de D.________, dont les rapports contractuels avec B.________ ne sont pas établis, a eu lieu encore trois mois plus tard, le 7 septembre 2019. La bagarre et les lésions qui en ont résulté étant établies, la crédibilité des déclarations des protagonistes ne pouvait être appréciée à ce stade de la procédure, sur la seule base de l'alcoolémie que présentait le recourant au moment des faits, alors même qu'il n'est pas fait état de déclarations contradictoires de ce dernier. Considérer d'emblée qu'une confrontation des protagonistes n'aurait pas fait avancer la procédure était prématuré, ce d'autant que les versions des collaborateurs de la discothèque diffèrent sur certains aspects (notamment: identité de la seconde personne ayant escorté le recourant à l'extérieur de l'établissement et présence de B.________ sur les lieux de la bagarre au moment de l'arrivée de la police). Dans cette configuration, la cour cantonale ne pouvait, sans violer le principe "in dubio pro duriore" et l' art. 310 CPP , confirmer la non-entée en matière en considérant que les éléments constitutifs de l'infraction ou les conditions à l'ouverture de l'action pénale n'étaient manifestement pas réunis. Le recours doit dès lors être admis sur ce point, la décision attaquée annulée et la cause renvoyée à l'autorité cantonale pour qu'elle statue sur les frais et dépens de la procédure cantonale et renvoie la cause au ministère public pour le surplus.</w:t>
      </w:r>
    </w:p>
    <w:p>
      <w:r>
        <w:rPr>
          <w:b/>
        </w:rPr>
        <w:t>E. 3</w:t>
      </w:r>
    </w:p>
    <w:p>
      <w:r>
        <w:t>Le recours doit être partiellement admis, l'arrêt attaqué annulé et la cause renvoyée à la cour cantonale pour nouvelle décision dans le sens des considérants (consid. 2). Pour le surplus, le recours doit être déclaré irrecevable (consid. 1.3). Le recourant, qui obtient partiellement gain de cause, peut prétendre à des dépens réduits, à la charge du canton de Genève ( art. 68 al. 1 LTF ). Sa demande d'assistance judiciaire est sans objet dans la mesure où il a droit à des dépens; elle doit être rejetée pour le surplus, dès lors que le recours était dénué de chances de succès s'agissant des aspects sur lesquels le recourant succombe ( art. 64 al. 1 LTF ). Ce dernier,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