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6B_1056/2018 vom 29. Januar 2019</w:t>
      </w:r>
    </w:p>
    <w:p>
      <w:r>
        <w:t>Bundesgericht, 2019-01-29, FR</w:t>
      </w:r>
    </w:p>
    <w:p>
      <w:r>
        <w:rPr>
          <w:b/>
        </w:rPr>
        <w:t xml:space="preserve">Quelle: </w:t>
      </w:r>
      <w:r>
        <w:t>https://mcp.opencaselaw.ch/entscheid/bger_6B_1056_2018</w:t>
      </w:r>
    </w:p>
    <w:p>
      <w:r>
        <w:t>FR: TF 6B_1056/2018 du 29 janvier 2019</w:t>
      </w:r>
    </w:p>
    <w:p>
      <w:r>
        <w:t>IT: TF 6B_1056/2018 del 29 gennaio 2019</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141 IV 1 consid. 1.1 p. 4 et les références citées).</w:t>
      </w:r>
    </w:p>
    <w:p>
      <w:r>
        <w:t>En l'espèce, le recourant a participé à la procédure cantonale en tant que partie plaignante et a pris une conclusion civile tendant à l'allocation d'un montant de 33'438 fr. correspondant au préjudice qu'il allègue avoir subi en raison du vol reproché à l'intimé. L'arrêt entrepris peut dès lors avoir une incidence sur ses prétentions civiles, de sorte que le recours est recevable au regard de l'art. 81 al. 1 let. b ch. 5 LTF.</w:t>
      </w:r>
    </w:p>
    <w:p>
      <w:r>
        <w:rPr>
          <w:b/>
        </w:rPr>
        <w:t>E. 2</w:t>
      </w:r>
    </w:p>
    <w:p>
      <w:r>
        <w:t>Le recourant reproche à la cour cantonale d'avoir établi les faits de manière arbitraire. Il invoque également une violation de l' art. 139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2.2.1</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[let. a] ou consentement de celle-ci au classement [let. b]).</w:t>
      </w:r>
    </w:p>
    <w:p>
      <w:r>
        <w:rPr>
          <w:b/>
        </w:rPr>
        <w:t>E. 2.2.2</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6B_874/2017 du 18 avril 2018 consid. 5.1; 6B_1177/2017 du 16 avril 2018 consid. 2.1; 6B_1356/2016 du 5 janvier 2018 consid. 3.3.3).</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ATF 143 IV 241 consid. 2.2.2 p. 243 et les arrêts cités; arrêt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6B_806/2015 du 1</w:t>
      </w:r>
    </w:p>
    <w:p>
      <w:r>
        <w:t>er février 2016 consid. 2.3; 6B_1151/2014 du 16 décembre 2015 consid. 3.1).</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arrêts 6B_874/2017 précité consid. 5.1; 6B_1177/2017 précité consid. 2.1).</w:t>
      </w:r>
    </w:p>
    <w:p>
      <w:r>
        <w:rPr>
          <w:b/>
        </w:rPr>
        <w:t>E. 2.3.1</w:t>
      </w:r>
    </w:p>
    <w:p>
      <w:r>
        <w:t>Selon l' art. 137 CP (appropriation illégitime),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t>L'acte d'appropriation signifie tout d'abord que l'auteur incorpore économiquement la chose ou la valeur de la chose à son propre patrimoine, pour la conserver, la consommer ou pour l'aliéner; il dispose alors d'une chose comme propriétaire, sans pour autant en avoir la qualité ( ATF 129 IV 223 consid. 6.2.1 p. 227; 121 IV 25 consid. 1c p. 25; 118 IV 148 consid. 2a p. 151 s.; plus récemment: arrêt 6B_70/2016 du 2 juin 2016 consid. 3.3.2). L'appropriation est illégitime dès lors qu'elle dénote un comportement contraire à la volonté du propriétaire ( ATF 129 IV 223 consid. 6.3 p. 227).</w:t>
      </w:r>
    </w:p>
    <w:p>
      <w:r>
        <w:rPr>
          <w:b/>
        </w:rPr>
        <w:t>E. 2.3.2</w:t>
      </w:r>
    </w:p>
    <w:p>
      <w:r>
        <w:t>L' art. 139 ch. 1 CP (vol) réprime le comportement de celui qui, pour se procurer ou procurer à un tiers un enrichissement illégitime, aura soustrait une chose mobilière appartenant à autrui dans le but de se l'approprier.</w:t>
      </w:r>
    </w:p>
    <w:p>
      <w:r>
        <w:t>La notion de vol ne se distingue de celle de l'appropriation illégitime ( art. 137 CP )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 art. 919 CC ). Elle présuppose la disposition effective de la chose et la volonté de la posséder ( ATF 132 IV 108 consid. 2.1 p. 110; arrêt 6B_243/2014 du 15 juillet 2014 consid. 2.3).</w:t>
      </w:r>
    </w:p>
    <w:p>
      <w:r>
        <w:rPr>
          <w:b/>
        </w:rPr>
        <w:t>E. 2.3.3</w:t>
      </w:r>
    </w:p>
    <w:p>
      <w:r>
        <w:t>Il y a dation en paiement (" datio in solutum ") lorsque le créancier et le débiteur conviennent que la dette sera exécutée par la remise ou la cession d'un bien autre que celui qui avait été initialement convenu. Si le créancier l'accepte, la nouvelle prestation remplace la prestation originelle avec effet libératoire (arrêt 4A_407/2010 du 17 novembre 2010 consid. 2.2). Il s'agit donc d'une modification conventionnelle de la prestation due, la prestation exécutée par le débiteur étant un succédané de celle qu'il devait initialement (TERCIER/PICHONNAZ, Le droit des obligations, 5</w:t>
      </w:r>
    </w:p>
    <w:p>
      <w:r>
        <w:t>e éd., 2012, nos 1016 s. p. 229).</w:t>
      </w:r>
    </w:p>
    <w:p>
      <w:r>
        <w:rPr>
          <w:b/>
        </w:rPr>
        <w:t>E. 2.3.4</w:t>
      </w:r>
    </w:p>
    <w:p>
      <w:r>
        <w:t>L'acquisition dérivée de la propriété mobilière suppose un titre d'acquisition valable, suivi d'une opération d'acquisition, à savoir un acte de disposition et un transfert de possession selon l'un des modes prévus aux art. 922 ss CC , avec ou sans remise de la chose (PAUL-HENRI STEINAUER, Les droits réels, tome II, 4e éd., 2012, nos 2008 ss, spéc. no 2018 p. 311). L'acquisition est parfaite lorsque le transfert de la possession à l'acquéreur complète l'opération d'acquisition par laquelle l'aliénateur exécute l'obligation résultant pour lui du titre d'acquisition ( art. 714 al. 1 CC ; ATF 131 III 217 consid. 4.1; arrêts 5A_583/2012 du 6 décembre 2012 consid. 3.1.2; 5C.182/2005 du 2 décembre 2005 consid. 3 non publié aux ATF 132 III 155 ).</w:t>
      </w:r>
    </w:p>
    <w:p>
      <w:r>
        <w:rPr>
          <w:b/>
        </w:rPr>
        <w:t>E. 2.4.1</w:t>
      </w:r>
    </w:p>
    <w:p>
      <w:r>
        <w:t>S'il ne conteste pas que le transport effectué en avril 2016 par la société de l'intimé avait fait naître une créance, qui s'élevait à 7128 fr., le recourant revient en revanche sur l'exigibilité de celle-ci en date du 23 décembre 2016. Il invoque sur ce point une interprétation arbitraire de ses déclarations, arguant que son courrier du 15 novembre 2016 à la société de l'intimé (cf. dossier cantonal, P. 16/2) établissait qu'en raison du sursis concordataire ( art. 293 ss LP ) dont il faisait l'objet, il avait bien été convenu que la créance relative aux frais de transport ne deviendrait exigible qu'à la fin de l'année 2016.</w:t>
      </w:r>
    </w:p>
    <w:p>
      <w:r>
        <w:t>Le courrier invoqué, dans lequel le recourant se limite à exposer sa version personnelle des faits quant aux relations contractuelles le liant à la société de l'intimé, n'est pas propre à convaincre de l'existence d'un accord de cette dernière quant à un report de la date de paiement, alors même que la cour cantonale a constaté que le contrat de transport prévoyait un paiement comptant (" Barzahlung ") et que le recourant avait signé le bulletin de livraison sur lequel figurait cette mention. Il ressort ainsi de l'arrêt entrepris que, comme le recourant ne s'était pas exécuté lors de la livraison, une facture lui avait ensuite été adressée par la société, puis un rappel, et enfin un courriel faisant état de trois promesses orales du recourant - non tenues - de s'en acquitter à court délai, ce qui permettait d'établir que la société n'avait pas eu l'intention d'accepter un report de l'exigibilité de sa créance.</w:t>
      </w:r>
    </w:p>
    <w:p>
      <w:r>
        <w:t>Le recourant ne parvient pas non plus à démontrer que l'intimé avait été informé de l'existence de la procédure concordataire en cours depuis 2015, laquelle portait sur des dettes de l'ordre de 280'000 francs. Il n'était ainsi pas établi que cette circonstance avait été évoquée lors des pourparlers pré-contractuels. Du reste, selon la cour cantonale, si tel avait été le cas, la société se serait certainement renseignée sur la solvabilité du recourant, en s'enquérant au besoin auprès du commissaire ou du juge du concordat sur la faculté du recourant de conclure valablement, sans leur concours, un contrat du type de celui qui était en train de se négocier entre les parties (cf. art. 298 LP ). Dans ces conditions, le contrat de transport risquait manifestement de ne pas être conclu. Il n'était donc pas surprenant que le recourant n'avait pas fait état de la procédure concordataire auprès de sa cocontractante.</w:t>
      </w:r>
    </w:p>
    <w:p>
      <w:r>
        <w:t>De telles constatations sont dénuées d'arbitraire. La cour cantonale pouvait ainsi retenir que la société de l'intimé n'avait pas accepté un report du paiement en relation avec le sursis concordataire alors en cours, de sorte que sa créance était exigible.</w:t>
      </w:r>
    </w:p>
    <w:p>
      <w:r>
        <w:t>C'est par ailleurs en vain que le recourant se prévaut d'une prétendue facture que la société de l'intimé lui aurait adressé le 2 février 2017 (cf. dossier cantonal, P. 16/3). Ce document ne comportant ni l'adresse du recourant, ni les coordonnées bancaires de la société, ni la signature d'une personne habilitée à la représenter, c'est sans arbitraire que la cour cantonale a considéré qu'il ne constituait pas une facture que lui aurait adressé l'intimé après avoir emporté les garages mobiles. On ne voit du reste pas en quoi le maintien de la poursuite intentée à son encontre par la société de l'intimé dénotait un comportement contradictoire, étant observé que le recourant soutenait qu'elle détenait illicitement ses garages et que la cour cantonale pouvait en déduire que le maintien de la poursuite dans ces circonstances se justifiait.</w:t>
      </w:r>
    </w:p>
    <w:p>
      <w:r>
        <w:rPr>
          <w:b/>
        </w:rPr>
        <w:t>E. 2.4.2</w:t>
      </w:r>
    </w:p>
    <w:p>
      <w:r>
        <w:t>Si aucune preuve matérielle ne permettait de se convaincre de l'existence d'un accord quant à la remise des garages mobiles en guise de paiement, lequel aurait été convenu par téléphone entre les parties, la cour cantonale a estimé que la version de l'intimé - qui avait constamment soutenu cette thèse - était entièrement crédible, dès lors que ses allégations au sujet de ses relations contractuelles avec le recourant avaient été établies, jusque dans les détails, par les pièces qu'il avait produites. Les allégations du recourant n'étaient en revanche pas fiables, celui-ci n'ayant cessé de mentir à la société de l'intimé sur son intention et ses capacités de s'acquitter des frais de transport des garages. Il n'avait ainsi pas informé l'intimé de l'existence d'un sursis concordataire lors de la conclusion du contrat, n'avait pas donné suite aux différentes correspondances qui lui avaient été adressées et avait tenu à plusieurs reprises de fausses promesses quant à un prochain paiement de la créance.</w:t>
      </w:r>
    </w:p>
    <w:p>
      <w:r>
        <w:t>Le recourant oppose le fait qu'il avait mis en location l'un des garages, ce qui ne rendrait pas crédible l'existence d'un accord quant à un transfert de la propriété des garages. Cependant, la seule circonstance selon laquelle il n'aurait pas informé son locataire n'est pas propre à exclure l'existence d'un accord. Du reste, contrairement à ce que soutient le recourant, il n'est pas établi que l'intimé connaissait l'existence d'un bail conclu par le recourant.</w:t>
      </w:r>
    </w:p>
    <w:p>
      <w:r>
        <w:t>Certes, la cour cantonale a encore relevé que le contenu de la conversation téléphonique entre le recourant et l'intimé n'était pas susceptible d'être établi, si ce n'est, indirectement, par l'audition de la comptable de la société et des trois employés qui se sont rendus à C.________ pour emporter les garages mobiles. On comprend toutefois qu'à ses yeux, il pouvait être renoncé à ces mesures d'instruction, dès lors qu'il n'apparaissait pas envisageable que l'intimé avait présenté aux précités une version des faits différente de celle qu'il avait exposée aux enquêteurs, leur audition ne permettant quoi qu'il en soit pas d'apporter un éclairage suffisamment précis sur le contenu de la conversation téléphonique.</w:t>
      </w:r>
    </w:p>
    <w:p>
      <w:r>
        <w:rPr>
          <w:b/>
        </w:rPr>
        <w:t>E. 2.4.3</w:t>
      </w:r>
    </w:p>
    <w:p>
      <w:r>
        <w:t>Cela étant, la cour cantonale pouvait constater que l'attitude constamment dilatoire adoptée par le recourant dans le cadre de ses relations contractuelles compromettait d'emblée toute force probante à ses déclarations, au contraire de celles de l'intimé, qui étaient étayées par pièces. La version des faits présentée par l'intimé devait ainsi être privilégiée, de sorte qu'il y avait lieu d'admettre l'existence d'un accord entre les parties, lequel portait non seulement sur le transfert de la propriété des garages mobiles, qui devait servir à éteindre la dette du recourant, mais également sur le fait que, comme l'intimé le soutenait, ce dernier avait été habilité à venir en prendre possession.</w:t>
      </w:r>
    </w:p>
    <w:p>
      <w:r>
        <w:t>Dans ces circonstances, rien ne permettait d'établir que l'intimé avait voulu s'approprier les garages mobiles de manière illégitime, ni qu'il entendait les soustraire au recourant.</w:t>
      </w:r>
    </w:p>
    <w:p>
      <w:r>
        <w:t>A défaut de soupçon suffisant justifiant une mise en accusation ( art. 319 al. 1 let. a CPP ), la cour cantonale pouvait considérer qu'une condamnation de l'intimé par l'autorité de jugement apparaissait exclue ou du moins très peu probable, que ce soit pour l'infraction d'appropriation illégitime ( art. 137 CP ) ou de vol ( art. 139 CP ). Il résulte de ce qui précède que la cour cantonale n'a pas violé le droit fédéral, ni le principe " in dubio pro duriore ", en considérant que la procédure ouverte contre l'intimé devait faire l'objet d'un classement.</w:t>
      </w:r>
    </w:p>
    <w:p>
      <w:r>
        <w:rPr>
          <w:b/>
        </w:rPr>
        <w:t>E. 3</w:t>
      </w:r>
    </w:p>
    <w:p>
      <w:r>
        <w:t>Le recours doit être rejeté. Le recourant, qui succombe, supporte les frais judiciaires ( art. 66 al. 1 LTF ). L'intimé, qui a été invité à se déterminer, a droit à des dépens,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