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6B_1052/2015 vom 27. Juli 2016</w:t>
      </w:r>
    </w:p>
    <w:p>
      <w:r>
        <w:t>Bundesgericht, 2016-07-27, FR</w:t>
      </w:r>
    </w:p>
    <w:p>
      <w:r>
        <w:rPr>
          <w:b/>
        </w:rPr>
        <w:t xml:space="preserve">Quelle: </w:t>
      </w:r>
      <w:r>
        <w:t>https://mcp.opencaselaw.ch/entscheid/bger_6B_1052_2015</w:t>
      </w:r>
    </w:p>
    <w:p>
      <w:r>
        <w:t>FR: TF 6B_1052/2015 du 27 juillet 2016</w:t>
      </w:r>
    </w:p>
    <w:p>
      <w:r>
        <w:t>IT: TF 6B_1052/2015 del 27 luglio 2016</w:t>
      </w:r>
    </w:p>
    <w:p>
      <w:pPr>
        <w:pStyle w:val="Heading2"/>
      </w:pPr>
      <w:r>
        <w:t>Erwägungen</w:t>
      </w:r>
    </w:p>
    <w:p>
      <w:r>
        <w:rPr>
          <w:b/>
        </w:rPr>
        <w:t>E. 1</w:t>
      </w:r>
    </w:p>
    <w:p>
      <w:r>
        <w:t>Le Tribunal fédéral examine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1.1.1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comme c'est le cas du faux dans les titres visé par l' art. 251 CP ( ATF 129 IV 53 consid. 2.3 p. 58), seule est considérée comme lésée la personne qui est affectée dans ses droits par l'infraction visée par la norme, pour autant que l'atteinte apparaisse comme la conséquence directe du comportement de l'auteur (6B_615/2015 du 29 octobre 2015 consid. 1.1. n. p. in ATF 141 IV 444 ; 139 IV 78 consid. 3.3.3 p. 81 s.; 138 IV 258 consid. 2.2 et 2.3 p. 262 s. et les références citées). Tel est le cas lorsque le faux dans les titres est l'un des éléments d'une infraction contre le patrimoine ( ATF 119 Ia 342 consid. 2b p. 346 s.).</w:t>
      </w:r>
    </w:p>
    <w:p>
      <w:r>
        <w:t>Les prétentions civiles sont celles qui sont fondées sur le droit civil et doivent en conséquence être déduites ordinairement devant les tribunaux civils. En font partie non seulement les prétentions en réparation du dommage et du tort moral au sens des art. 41 ss CO ( ATF 138 IV 86 consid. 3 p. 87), mais aussi celles qui visent toute satisfaction ou protection offerte par le droit privé ( ATF 127 IV 185 consid. 1a p. 187). La notion d'influence du jugement pénal sur les prétentions civiles est conçue strictement. La victime ne peut pas s'opposer à une décision parce qu'elle ne facilite pas son action sur le plan civil. Il faut que la décision attaquée ait pour conséquence que la victime rencontrera plus de difficultés à faire valoir ses prétentions civiles (6B_982/2013 du 6 février 2014 c. 1.1.1 et les références citées; ATF 127 IV 185 consid. 1a p. 188; 120 IV 38 consid. 2c p. 41; 119 IV 339 consid. 1d/cc p. 344).</w:t>
      </w:r>
    </w:p>
    <w:p>
      <w:r>
        <w:rPr>
          <w:b/>
        </w:rPr>
        <w:t>E. 1.1.2</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à supposer que l'auteur du faux présumé soit identifié, on ne voit pas quelles prétentions civiles le recourant pourrait élever à son encontre, faute de tout développement du recourant sur cette question. Autant qu'il avance que l'identification de l'auteur de l'infraction lui permettrait d'invalider le plan litigieux et de retrouver les anciennes limites de sa parcelle, il s'agirait alors là d'une action en modification des limites de parcelles du 26 février 2008 intentée en particulier contre la commune de Z.________, mais non directement contre l'auteur de l'infraction. Il ne s'agit pas là de prétentions civiles que le recourant pourrait faire valoir par adhésion dans le procès pénal. Le recours se révèle irrecevable.</w:t>
      </w:r>
    </w:p>
    <w:p>
      <w:r>
        <w:rPr>
          <w:b/>
        </w:rPr>
        <w:t>E. 2</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 p. 4 et les références citées).</w:t>
      </w:r>
    </w:p>
    <w:p>
      <w:r>
        <w:t>Sous couvert de violation du droit d'être entendu, le recourant se plaint du refus de l'autorité d'administrer des preuves complémentaires. Son grief qui revient à critiquer la décision au fond sous l'angle de l'appréciation des preuves est irrecevable.</w:t>
      </w:r>
    </w:p>
    <w:p>
      <w:r>
        <w:rPr>
          <w:b/>
        </w:rPr>
        <w:t>E. 3</w:t>
      </w:r>
    </w:p>
    <w:p>
      <w:r>
        <w:t>L'hypothèse visée à l'art. 81 al. 1 let. b ch. 6 LTF n'entre pas en considération, le recourant n'invoquant aucune violation de son droit de porter plainte.</w:t>
      </w:r>
    </w:p>
    <w:p>
      <w:r>
        <w:rPr>
          <w:b/>
        </w:rPr>
        <w:t>E. 4</w:t>
      </w:r>
    </w:p>
    <w:p>
      <w:r>
        <w:t>Le recours se révèle irrecevable. Le recourant, qui succombe, devra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