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6B_104/2026 vom 6. Februar 2026</w:t>
      </w:r>
    </w:p>
    <w:p>
      <w:r>
        <w:t>Bundesgericht, 2026-02-06, DE</w:t>
      </w:r>
    </w:p>
    <w:p>
      <w:r>
        <w:rPr>
          <w:b/>
        </w:rPr>
        <w:t xml:space="preserve">Quelle: </w:t>
      </w:r>
      <w:r>
        <w:t>https://mcp.opencaselaw.ch/entscheid/bger_6B_104_2026</w:t>
      </w:r>
    </w:p>
    <w:p>
      <w:r>
        <w:t>FR: TF 6B_104/2026 du 6 février 2026</w:t>
      </w:r>
    </w:p>
    <w:p>
      <w:r>
        <w:t>IT: TF 6B_104/2026 del 6 febbraio 2026</w:t>
      </w:r>
    </w:p>
    <w:p>
      <w:pPr>
        <w:pStyle w:val="Heading2"/>
      </w:pPr>
      <w:r>
        <w:t>Erwägungen</w:t>
      </w:r>
    </w:p>
    <w:p>
      <w:r>
        <w:rPr>
          <w:b/>
        </w:rPr>
        <w:t>E. 1</w:t>
      </w:r>
    </w:p>
    <w:p>
      <w:r>
        <w:t>Der Beschwerdeführer erhebt am 2. Februar 2026 (Poststempel) Beschwerde gegen den Entscheid des Obergerichts des Kantons Thurgau vom 12. Dezember 2025.</w:t>
      </w:r>
    </w:p>
    <w:p>
      <w:r>
        <w:rPr>
          <w:b/>
        </w:rPr>
        <w:t>E. 2</w:t>
      </w:r>
    </w:p>
    <w:p>
      <w:r>
        <w:t>Eine Fristverlängerung zur Beschwerdebegründung fällt ausser Betracht. Die Beschwerdefrist ist eine gesetzlich bestimmte Frist, die nicht erstreckt werden kann ( Art. 47 Abs. 1 BGG ).</w:t>
      </w:r>
    </w:p>
    <w:p>
      <w:r>
        <w:rPr>
          <w:b/>
        </w:rPr>
        <w:t>E. 3</w:t>
      </w:r>
    </w:p>
    <w:p>
      <w:r>
        <w:t>Anfechtungsobjekt im bundesgerichtlichen Verfahren ist einzig der Nichteintretensentscheid vom 12. Dezember 2025 ( Art. 80 Abs. 1 BGG ). Vor Bundesgericht kann es folglich nur darum gehen, ob das Obergericht auf die Berufung mangels Einreichung der Berufungserklärung zu Recht nicht eingetreten ist. Dazu äussert sich der Beschwerdeführer mit keinem Wort. Stattdessen äussert er sich zur materiellen Seite der Angelegenheit, die nicht Verfahrensgegenstand ist und womit sich das Bundesgericht nicht befassen kann. Auf die Beschwerde ist mangels einer tauglichen Begründung ( Art. 42 Abs. 2 und Art. 106 Abs. 2 BGG ) im Verfahren nach Art. 108 BGG nicht einzutreten.</w:t>
      </w:r>
    </w:p>
    <w:p>
      <w:r>
        <w:rPr>
          <w:b/>
        </w:rPr>
        <w:t>E. 4</w:t>
      </w:r>
    </w:p>
    <w:p>
      <w:r>
        <w:t>Soweit der Beschwerdeführer mit seiner Eingabe sinngemäss um Wiederherstellung der Frist ersucht, bleibt darauf hinzuweisen, dass das Bundesgericht nicht erstinstanzlich über eine Wiederherstellung der Frist im Sinne von Art. 94 StPO entscheiden kann ( Art. 80 Abs. 1 BGG ). Die Eingabe des Beschwerdeführers ist insoweit zuständigkeitshalber an das Obergericht des Kantons Thurgau zu überweisen ( Art. 30 Abs. 2 BGG ).</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