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1048/2021 vom 10. Februar 2022</w:t>
      </w:r>
    </w:p>
    <w:p>
      <w:r>
        <w:t>Bundesgericht, 2022-02-10, FR</w:t>
      </w:r>
    </w:p>
    <w:p>
      <w:r>
        <w:rPr>
          <w:b/>
        </w:rPr>
        <w:t xml:space="preserve">Quelle: </w:t>
      </w:r>
      <w:r>
        <w:t>https://mcp.opencaselaw.ch/entscheid/bger_6B_1048_2021</w:t>
      </w:r>
    </w:p>
    <w:p>
      <w:r>
        <w:t>FR: TF 6B 1048/2021 du 10 février 2022</w:t>
      </w:r>
    </w:p>
    <w:p>
      <w:r>
        <w:t>IT: TF 6B 1048/2021 del 10 febbraio 2022</w:t>
      </w:r>
    </w:p>
    <w:p>
      <w:pPr>
        <w:pStyle w:val="Heading2"/>
      </w:pPr>
      <w:r>
        <w:t>Regeste</w:t>
      </w:r>
    </w:p>
    <w:p>
      <w:r>
        <w:t>Droit d'être entendu, procès équitable, arbitraire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 6B_1463/2020 du 5 janvier 2022 consid. 1.1 et la référence citée). En l'espèce, le recourant se borne à conclure à l'admission de son recours et à l'annulation du jugement attaqué. On parvient néanmoins à comprendre, sur le vu des motifs du recours, qu'il entend obtenir la réforme du jugement attaqué, dans le sens d'un renvoi de la cause à la cour cantonale pour qu'elle statue à nouveau sur l'affaire après avoir produit l'intégralité des dossiers d'enquête en lien avec sa condamnation. Cela suffit tout juste pour satisfaire aux exigences de forme déduites de l' art. 42 al. 1 et 2 LTF .</w:t>
      </w:r>
    </w:p>
    <w:p>
      <w:r>
        <w:rPr>
          <w:b/>
        </w:rPr>
        <w:t>E. 2</w:t>
      </w:r>
    </w:p>
    <w:p>
      <w:r>
        <w:t>Invoquant les art. 29 al. 2 Cst. , 6 par. 1 et 3 CEDH, 3 al. 2 let. c et 107 CPP, le recourant se plaint de la violation de son droit d'être entendu, de son droit à un procès équitable ainsi que de son droit de faire administrer des preuves. Il fait grief à la cour cantonale d'avoir ordonné uniquement la production des éléments de preuve sur lesquels s'appuie le rapport d'investigation, et non l'entier des dossiers issus des enquêtes menées contre des tiers, le privant ainsi de la possibilité d'y puiser des éléments à décharge.</w:t>
      </w:r>
    </w:p>
    <w:p>
      <w:r>
        <w:rPr>
          <w:b/>
        </w:rPr>
        <w:t>E. 2.1</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p. 125; 135 II 286 consid. 5.1 p. 293; arrêt 1B_273/2019 du 3 décembre 2019 consid. 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(cf. ATF 129 I 85 consid. 4.1 p. 88 s.; arrêts 6B_1188/2020 du 7 juillet 2021 consid. 1.1.1; 1B_273/2019 du 3 décembre 2019 consid. 2.1). Selon une jurisprudence constante, le droit du prévenu de participer à l'administration des preuves ne s'étend pas aux procédures conduites séparément contre d'autres prévenus, raison pour laquelle il ne peut pas invoquer l' art. 147 al. 1 CPP ( ATF 141 IV 220 consid. 4.5 p. 229 s.; 140 IV 172 consid. 1.2 p. 174 ss). Si des pièces d'une procédure séparée sont consultées, les déclarations à charge de personnes prévenues dans l'autre procédure ainsi que de témoins et de personnes entendues aux fins de renseignement ne peuvent toutefois être exploitées à la charge de la personne prévenue que si celle-ci a eu au moins une fois l'occasion adéquate et suffisante de mettre en doute les déclarations à sa charge et de poser des questions aux personnes concernées ( ATF 144 IV 97 consid. 2.2 p. 102; 141 IV 220 consid. 4.5 p. 230; arrêt 6B_236/2020 du 27 août 2020 consid. 1.3).</w:t>
      </w:r>
    </w:p>
    <w:p>
      <w:r>
        <w:rPr>
          <w:b/>
        </w:rPr>
        <w:t>E. 2.2</w:t>
      </w:r>
    </w:p>
    <w:p>
      <w:r>
        <w:t>La cour cantonale a constaté qu'au moment de rendre son jugement, l'autorité de première instance ne disposait pas au dossier de tous les éléments de preuve mentionnés dans le rapport d'investigation du 31 octobre 2019, auquel se référaient pour l'essentiel les premiers juges dans les considérants de leur décision. Il en allait ainsi des cas 2.1.2 à 2.1.6 et 2.1.8 de l'acte d'accusation, où faisaient défaut les éléments de comptabilité de la plupart des fournisseurs de cocaïne auprès de qui le recourant s'était approvisionné, ainsi qu'un enregistrement d'une conversation téléphonique entre le recourant et un dépositaire non identifié. Dans cette mesure, le recourant n'avait pas eu la possibilité d'avoir accès à l'entier du dossier de la procédure instruite contre lui, avec pour conséquence une violation manifeste de son droit d'être entendu. La cour cantonale a donc requis ces éléments de preuve auprès du ministère public pour être versés au dossier de la cause (jugement entrepris, consid. 4.3 et 4.4). Dans son jugement, elle a constaté que tous les éléments de preuve nécessaires à l'établissement des faits retenus par l'autorité de première instance figuraient désormais au dossier. La violation du droit d'être entendu du recourant, en lien avec son droit d'accès au dossier, avait ainsi été réparée devant l'instance d'appel (jugement entrepris, consid. 4.4).</w:t>
      </w:r>
    </w:p>
    <w:p>
      <w:r>
        <w:rPr>
          <w:b/>
        </w:rPr>
        <w:t>E. 2.3</w:t>
      </w:r>
    </w:p>
    <w:p>
      <w:r>
        <w:t>Conformément à ce qui précède (consid. 2.1 supra), le recourant peut uniquement déduire des principes qu'il invoque le droit d'être confronté aux éléments de preuve émanant de causes distinctes qui sont exploités à charge. Il ne conteste pas, d'ailleurs, avoir eu la possibilité de consulter et de s'exprimer sur les preuves retenues à l'appui de sa condamnation. En revanche, le respect des droits de la défense n'imposait pas de verser l'intégralité des dossiers d'autres enquêtes à la présente procédure. Le recourant n'explique du reste pas en quoi ces dossiers auraient été pertinents pour l'issue de la cause. On ne voit pas non plus que le prénommé eût été privé de la possibilité de requérir l'administration de preuves complémentaires. Le recourant s'est borné à solliciter la production de l'intégralité des dossiers de procédures tierces sans établir en quoi ils étaient nécessaires au traitement de l'appel (cf. art. 389 al. 3 CPP ) et il ne conteste pas, devant la cour de céans, le rejet de cette requête par la cour cantonale. Dans cette mesure, le recourant n'établit pas de violation des droits qu'il invoque.</w:t>
      </w:r>
    </w:p>
    <w:p>
      <w:r>
        <w:rPr>
          <w:b/>
        </w:rPr>
        <w:t>E. 2.4</w:t>
      </w:r>
    </w:p>
    <w:p>
      <w:r>
        <w:t>Pour le reste, le recourant ne se plaint pas d'avoir pu consulter les éléments à charge émanant des autres causes tardivement. Quoi qu'il en soit, même si le recourant n'a pas pu consulter le dossier complet avant le dépôt de son appel auprès de l'autorité précédente, il a pu faire valoir tous ses moyens - formels et matériels - auprès de celle-ci, qui disposait d'une pleine cognition en fait et en droit ( art. 392 al. 3 CPP ). Il n'y aurait, de toute façon, pas davantage de violation de ses droits de partie sous cet angle.</w:t>
      </w:r>
    </w:p>
    <w:p>
      <w:r>
        <w:rPr>
          <w:b/>
        </w:rPr>
        <w:t>E. 3</w:t>
      </w:r>
    </w:p>
    <w:p>
      <w:r>
        <w:t>Le recourant soutient qu'il a, dans le cadre de son appel, reproché aux juges de première instance d'avoir retenu des faits à charge sur la seule base du rapport de police, lequel ne constituait pas une preuve formelle. La cour cantonale aurait donc dû écarter les incriminations y relatives. Faute de l'avoir fait, elle avait établi l'état de fait du jugement entrepris de manière arbitraire au sens de l' art. 97 LTF .</w:t>
      </w:r>
    </w:p>
    <w:p>
      <w:r>
        <w:rPr>
          <w:b/>
        </w:rPr>
        <w:t>E. 3.1</w:t>
      </w:r>
    </w:p>
    <w:p>
      <w:r>
        <w:t>Comme vu ci-dessus, la cour cantonale a complété le dossier de la cause en requérant du ministère public qu'il produise les éléments de preuve sur lesquels s'appuyait le rapport d'investigation de la police, lorsqu'ils étaient manquants. Puis, elle a repris chacun des cas concernés par l'appel pour vérifier si les moyens de preuve, sur lesquels s'étaient fondés les premiers juges au travers du rapport d'investigation du 31 octobre 2019, se trouvaient dorénavant tous au dossier de la cause et examiner s'ils permettaient effectivement d'établir les faits retenus par cette autorité (jugement entrepris, consid. 4.3). Elle a ainsi retenu six des sept cas admis par l'autorité de première instance, libérant le recourant du septième dans la mesure où elle a considéré qu'en l'absence d'indices suffisants, il existait un doute qui imposait d'exclure l'existence de la transaction en cause (jugement entrepris, consid. 4.3.1 à 4.3.8).</w:t>
      </w:r>
    </w:p>
    <w:p>
      <w:r>
        <w:rPr>
          <w:b/>
        </w:rPr>
        <w:t>E. 3.2</w:t>
      </w:r>
    </w:p>
    <w:p>
      <w:r>
        <w:t>Dans la mesure où, aux termes de l' art. 398 al. 2 et 3 CPP , la juridiction d'appel jouit d'un plein pouvoir d'examen sur tous les points attaqués du jugement, la cour cantonale pouvait apprécier les preuves et établir les faits librement, ce qu'elle n'a pas manqué de faire une fois le dossier de la cause complété. C'est encore le lieu de préciser que, quoi qu'en dise le recourant, un rapport de police est susceptible de constituer un moyen de preuve (arrêts 6B_1253/2019 du 18 février 2020 consid. 3; 6B_446/2019 du 5 juillet 2019 consid. 2.1; 6B_1140/2014 du 3 mars 2016 consid. 1.3 [non publié aux ATF 142 IV 129 ]). Le grief élevé par le recourant ne démontre donc nullement en quoi l'état de fait de la décision entreprise aurait été établi de manière arbitraire. Son grief est infondé.</w:t>
      </w:r>
    </w:p>
    <w:p>
      <w:r>
        <w:rPr>
          <w:b/>
        </w:rPr>
        <w:t>E. 4</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