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6B_1047/2014 vom 30. April 2015</w:t>
      </w:r>
    </w:p>
    <w:p>
      <w:r>
        <w:t>Bundesgericht, 2015-04-30, FR</w:t>
      </w:r>
    </w:p>
    <w:p>
      <w:r>
        <w:rPr>
          <w:b/>
        </w:rPr>
        <w:t xml:space="preserve">Quelle: </w:t>
      </w:r>
      <w:r>
        <w:t>https://mcp.opencaselaw.ch/entscheid/bger_6B_1047_2014</w:t>
      </w:r>
    </w:p>
    <w:p>
      <w:r>
        <w:t>FR: TF 6B_1047/2014 du 30 avril 2015</w:t>
      </w:r>
    </w:p>
    <w:p>
      <w:r>
        <w:t>IT: TF 6B_1047/2014 del 30 aprile 2015</w:t>
      </w:r>
    </w:p>
    <w:p>
      <w:pPr>
        <w:pStyle w:val="Heading2"/>
      </w:pPr>
      <w:r>
        <w:t>Erwägungen</w:t>
      </w:r>
    </w:p>
    <w:p>
      <w:r>
        <w:rPr>
          <w:b/>
        </w:rPr>
        <w:t>E. 1</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137 II 313 consid. 1.3 p. 317; 134 III 379 consid. 1.3 p. 383; 133 III 489 consid. 3.1 p. 489 s.).</w:t>
      </w:r>
    </w:p>
    <w:p>
      <w:r>
        <w:t>En l'espèce, le recourant reproche à la cour cantonale d'avoir refusé d'entendre des témoins en violation de règles essentielles de procédure. Or, il n'appartient pas au Tribunal fédéral d'entendre des témoins et d'établir à nouveau les faits (art. 105 al. 1 et 97 al. 1 LTF); en cas d'acceptation du recours, il renvoie la cause à l'autorité précédente. Les conclusions en annulation du jugement attaqué et au renvoi de la cause à la cour cantonale pour nouvelles instruction et décision sont donc admissibles.</w:t>
      </w:r>
    </w:p>
    <w:p>
      <w:r>
        <w:rPr>
          <w:b/>
        </w:rPr>
        <w:t>E. 2</w:t>
      </w:r>
    </w:p>
    <w:p>
      <w:r>
        <w:t>Le recourant fait grief à la cour cantonale d'avoir refusé de procéder à l'audition de quatre témoins.</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6B_496/2012 du 18 avril 2013 consid. 6.1;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Tel qu'invoqués par le recourant dans son mémoire de recours, les droit de la défense et le droit d'être entendu n'ont pas de portée propre par rapport aux dispositions du CPP.</w:t>
      </w:r>
    </w:p>
    <w:p>
      <w:r>
        <w:rPr>
          <w:b/>
        </w:rPr>
        <w:t>E. 2.2</w:t>
      </w:r>
    </w:p>
    <w:p>
      <w:r>
        <w:t>En relation avec sa condamnation pour faux dans les titres, le recourant requiert l'audition de I.________ afin de démontrer qu'il n'est pas l'auteur de la signature de la demande de garantie destinée à la société J.________ SA, mais que D.________ aurait contrefait sa propre signature. Selon le recourant, ce témoin devrait pouvoir expliquer dans quelles circonstances D.________ aurait signé la demande de garantie. Le recourant rappelle que l'expert n'a pas pu déterminer l'auteur de la signature et parle de " signature hésitante " et non de fausse signature.</w:t>
      </w:r>
    </w:p>
    <w:p>
      <w:r>
        <w:rPr>
          <w:b/>
        </w:rPr>
        <w:t>E. 2.2.1</w:t>
      </w:r>
    </w:p>
    <w:p>
      <w:r>
        <w:t>La cour cantonale a retenu que le recourant avait contrefait la signature de D.________ en raison des éléments suivants:</w:t>
      </w:r>
    </w:p>
    <w:p>
      <w:r>
        <w:t>Selon un expert en écriture, qui avait examiné la demande de garantie litigieuse, il était peu probable que D.________ ait modifié les caractéristiques de sa signature afin de la contester ultérieurement. L'expert soutenait au contraire que la signature litigieuse avait été contrefaite par un tiers. Il n'a toutefois pas pu indiquer si le recourant en était l'auteur.</w:t>
      </w:r>
    </w:p>
    <w:p>
      <w:r>
        <w:t>D.________ a nié avoir rempli et signé la demande de garantie de loyer. Il a notamment observé que celle-ci comportait plusieurs indications erronées, à savoir les professions des époux et le nom de famille de l'épouse, erreurs qu'il aurait corrigées s'il avait lu et signé le document litigieux.</w:t>
      </w:r>
    </w:p>
    <w:p>
      <w:r>
        <w:t>Enfin, il a été établi que le recourant avait rempli la formule en cause, seules les signatures étant litigieuses.</w:t>
      </w:r>
    </w:p>
    <w:p>
      <w:r>
        <w:rPr>
          <w:b/>
        </w:rPr>
        <w:t>E. 2.2.2</w:t>
      </w:r>
    </w:p>
    <w:p>
      <w:r>
        <w:t>Les éléments sur lesquels se fonde la cour cantonale pour admettre la culpabilité du recourant sont convaincants. L'expertise, qui certes n'atteste pas que la signature litigieuse est celle du recourant, estime qu'il est peu probable qu'elle soit celle de D.________. Les déclarations de D.________ sont en outre pertinentes. Il paraît en effet évident qu'il aurait corrigé les erreurs le concernant s'il avait lui-même apposé sa signature sur le document. En outre, il est établi que le recourant a participé à l'établissement de la demande de garantie, puisqu'il a rempli la formule en cause. Dans ces conditions, la cour cantonale n'a pas versé dans l'arbitraire en retenant que le recourant était l'auteur de la fausse signature et que le témoignage de I.________ n'apporterait pas d'éléments nouveaux. Le grief soulevé doit être rejeté.</w:t>
      </w:r>
    </w:p>
    <w:p>
      <w:r>
        <w:rPr>
          <w:b/>
        </w:rPr>
        <w:t>E. 2.3</w:t>
      </w:r>
    </w:p>
    <w:p>
      <w:r>
        <w:t>Le recourant sollicite l'audition de trois témoins, en relation avec sa condamnation pour gestion déloyale. Après avoir rappelé que la société F.________ SA était un sponsor officiel du club, il explique que ces trois témoins pourraient donner des précisions sur les processus de contrôle de la facturation au sein de la société F.________ SA, sur son activité de sponsoring et sur l'atmosphère qui y régnait.</w:t>
      </w:r>
    </w:p>
    <w:p>
      <w:r>
        <w:rPr>
          <w:b/>
        </w:rPr>
        <w:t>E. 2.3.1</w:t>
      </w:r>
    </w:p>
    <w:p>
      <w:r>
        <w:t>La cour cantonale a considéré que les factures en cause, qui portaient sur l'organisation de dîners et des frais de traiteur, concernaient des dépenses du club et non des activités de sponsoring.</w:t>
      </w:r>
    </w:p>
    <w:p>
      <w:r>
        <w:t>Pour arriver à cette conclusion, elle s'est notamment fondée sur les déclarations de l'exploitant de la société G.________ SA. En effet, celui-ci a indiqué qu'il avait été mandaté par le recourant, en sa qualité de président du club de basketball, pour livrer des repas au centre de formation des joueuses et préparer des sandwichs pour les manifestations sportives et que l'entreprise avait adressé les factures correspondantes au club de basketball, à l'attention du recourant. Les factures n'ayant pas été honorées, il avait établi de nouvelles factures au nom de F.________ SA à la demande du recourant.</w:t>
      </w:r>
    </w:p>
    <w:p>
      <w:r>
        <w:t>En outre, la cour cantonale a noté que les explications du recourant avaient varié. Dans un message électronique, adressé à plusieurs membres du conseil d'administration de la société F.________ SA, qui s'inquiétaient des dépenses en cause, il a d'abord expliqué que ces factures étaient liées à des " brochures communales "; il a indiqué qu'en vue de renforcer la présence de la société auprès des autorités il avait invité des personnalités comme des syndics, des secrétaires communaux ou des responsables de sociétés locales et leur avait servi un repas. Ensuite, lors des débats de première instance, il a déclaré que ces factures concernaient l'organisation d'un coin VIP lors des matchs de coupe d'Europe de basketball. Selon lui, les manifestations concernées comportaient des démarches publicitaires en faveur de produits de la société F.________ SA, de sorte qu'il était juste que la société s'acquitte de ces factures; il a toutefois admis qu'il avait décidé de faire payer ces factures par la société lorsque le club n'avait plus été en mesure de les acquitter.</w:t>
      </w:r>
    </w:p>
    <w:p>
      <w:r>
        <w:rPr>
          <w:b/>
        </w:rPr>
        <w:t>E. 2.3.2</w:t>
      </w:r>
    </w:p>
    <w:p>
      <w:r>
        <w:t>Au vu de ces éléments, la cour cantonale n'a pas versé dans l'arbitraire en retenant que les factures litigieuses ne concernaient pas l'activité de sponsoring de la société F.________ SA, mais des dépenses du club de basketball. En particulier, le recourant n'a pas démontré qu'il était insoutenable de retenir comme crédibles les déclarations de l'exploitant de la société G.________ SA, d'où il ressort que les factures concernaient des dépenses du club de basketball. Dans cette mesure, le grief soulevé est insuffisamment motivé et doit être déclaré irrecevable (cf. art. 106 al. 2 LTF ).</w:t>
      </w:r>
    </w:p>
    <w:p>
      <w:r>
        <w:rPr>
          <w:b/>
        </w:rPr>
        <w:t>E. 2.4</w:t>
      </w:r>
    </w:p>
    <w:p>
      <w:r>
        <w:t>Le recourant soutient que les témoignages requis pourraient permettre d'atténuer sa culpabilité, qualifiée de lourde. Il relève qu'il n'a pas retiré de bénéfice personnel de ses actions et qu'il s'est engagé avec passion et succès dans le club de basketball; il ne serait donc pas l'être égoïste et sans scrupules décrit par la cour cantonale.</w:t>
      </w:r>
    </w:p>
    <w:p>
      <w:r>
        <w:t>Il ressort de l'état de fait cantonal que le recourant était le président du club de basketball et qu'il n'a pas retiré un profit personnel de ses infractions. Sur ces points, la cour de céans ne voit pas l'éclairage que les témoins pourraient amener. Aucun élément pertinent n'a été omis. Le grief soulevé doit donc être rejeté.</w:t>
      </w:r>
    </w:p>
    <w:p>
      <w:r>
        <w:rPr>
          <w:b/>
        </w:rPr>
        <w:t>E. 3</w:t>
      </w:r>
    </w:p>
    <w:p>
      <w:r>
        <w:t>Ainsi, le recours doit être rejeté dans la mesure de sa recevabilité.</w:t>
      </w:r>
    </w:p>
    <w:p>
      <w:r>
        <w:t>Comme ses conclusions étaient vouées à l'échec, l'assistance judiciaire ne peut pas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