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6B_1046/2020 vom 16. November 2020</w:t>
      </w:r>
    </w:p>
    <w:p>
      <w:r>
        <w:t>Bundesgericht, 2020-11-16, DE</w:t>
      </w:r>
    </w:p>
    <w:p>
      <w:r>
        <w:rPr>
          <w:b/>
        </w:rPr>
        <w:t xml:space="preserve">Quelle: </w:t>
      </w:r>
      <w:r>
        <w:t>https://mcp.opencaselaw.ch/entscheid/bger_6B_1046_2020</w:t>
      </w:r>
    </w:p>
    <w:p>
      <w:r>
        <w:t>FR: TF 6B_1046/2020 du 16 novembre 2020</w:t>
      </w:r>
    </w:p>
    <w:p>
      <w:r>
        <w:t>IT: TF 6B_1046/2020 del 16 novembre 2020</w:t>
      </w:r>
    </w:p>
    <w:p>
      <w:pPr>
        <w:pStyle w:val="Heading2"/>
      </w:pPr>
      <w:r>
        <w:t>Erwägungen</w:t>
      </w:r>
    </w:p>
    <w:p>
      <w:r>
        <w:rPr>
          <w:b/>
        </w:rPr>
        <w:t>E. 1</w:t>
      </w:r>
    </w:p>
    <w:p>
      <w:r>
        <w:t>A.________,</w:t>
      </w:r>
    </w:p>
    <w:p>
      <w:r>
        <w:rPr>
          <w:b/>
        </w:rPr>
        <w:t>E. 2</w:t>
      </w:r>
    </w:p>
    <w:p>
      <w:r>
        <w:t>Die Beschwerdeführer sind als Privatkläger zur Beschwerde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 BGE 146 IV 76 E. 3.1 S. 82 mit Hinweis). Gemäss Art. 42 Abs. 1 und 2 BGG haben sie darzulegen, dass die gesetzlichen Legitimationsvoraussetzungen erfüllt sind. Richtet sich die Beschwerde, wie vorliegend, gegen die Einstellung eines Verfahrens, haben die Privatkläger nicht notwendigerweise bereits vor den kantonalen Behörden eine Zivilforderung geltend gemacht. In jedem Fall müssen sie im Verfahren vor Bundesgericht aber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rPr>
          <w:b/>
        </w:rPr>
        <w:t>E. 3</w:t>
      </w:r>
    </w:p>
    <w:p>
      <w:r>
        <w:t>Die Beschwerdeführer halten sich als Privatkläger für beschwerdelegitimiert. Sie seien wegen der "kriminellen Verwendung von Betreibungsverfahren" schwer geschädigt worden. Die fünf ungerechtfertigten Betreibungen, von welchen vier zurückgezogen worden seien, hätten insbesondere zu Geschäftseinnahmeverlusten, Zeitverschwendung und emotionaler Not sowie weiteren negativen Auswirkungen geführt. Ein Eintrag in das Betreibungsregister verursache einer betroffenen Privatperson schwere Nachteile (Kredit, Miete, Ausländerrecht). Sie hätten Schadenersatz- und Genugtuungsansprüche als Folge der Straftaten in Höhe von ca. Fr. 10'000.--.</w:t>
      </w:r>
    </w:p>
    <w:p>
      <w:r>
        <w:t>Diese Ausführungen genügen zur Begründung der Legitimation nicht. Wie sich aus Art. 81 Abs. 1 lit. b Ziff. 5 BGG ergibt, ist vor Bundesgericht der tatsächliche, unmittelbar aus der angeblichen Straftat resultierende Zivilanspruch zu begründen. Bei den von den Beschwerdeführern geltend gemachten Schadenspositionen handelt es sich indessen durchwegs um mittelbaren bzw. indirekten Schaden. Inwiefern sie aus den angeblich ungerechtfertigten Betreibungen unmittelbar geschädigt worden sein sollen, zeigen sie in der Beschwerde nicht auf. Sie führen denn auch selber aus, dass vier von fünf Betreibungen zurückgezogen wurden. Wie es sich mit der fünften Betreibung verhält, ergibt sich aus der insoweit unklaren Beschwerde nicht bzw. nicht hinreichend. Genugtuungsansprüche bestehen zudem nur, wenn es die Schwere der Verletzung rechtfertigt. Der Eingriff muss aussergewöhnlich schwer sein und in seinen Auswirkungen das Mass einer Aufregung oder einer alltäglichen Sorge klar übersteigen (Urteil 6B_534/2017 vom 20. Februar 2018 E. 1.2 mit Hinweisen). Dies ist hier weder offensichtlich noch von den Beschwerdeführern genügend dargetan. Dass und inwiefern sich der angefochtene Entscheid auf welche Zivilforderungen konkret auswirken kann, ist der Beschwerde mithin nicht zu entnehmen und ergibt sich auch nicht ohne Weiteres aus den Akten. Folglich ist davon auszugehen, dass die Beschwerdeführer in der Sache nicht zur Beschwerde im Sinne von Art. 81 Abs. 1 lit. b Ziff. 5 BGG legitimiert sind.</w:t>
      </w:r>
    </w:p>
    <w:p>
      <w:r>
        <w:t>Formelle Rügen, zu deren Geltendmachung die Beschwerdeführer unbesehen der fehlenden Legitimation in der Sache befugt wären (sog. "Star-Praxis"; vgl. BGE 141 IV 1 E. 1.1 mit Hinweisen), erheben sie nicht.</w:t>
      </w:r>
    </w:p>
    <w:p>
      <w:r>
        <w:t>Auf die Beschwerde ist daher im Verfahren nach Art. 108 BGG nicht einzutreten.</w:t>
      </w:r>
    </w:p>
    <w:p>
      <w:r>
        <w:rPr>
          <w:b/>
        </w:rPr>
        <w:t>E. 4</w:t>
      </w:r>
    </w:p>
    <w:p>
      <w:r>
        <w:t>Ausgangsgemäss tragen die Beschwerdeführer die Gerichtskosten zu gleichen Teilen unter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