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6B_1046/2010 vom 4. Januar 2011</w:t>
      </w:r>
    </w:p>
    <w:p>
      <w:r>
        <w:t>Bundesgericht, 2011-01-04, DE</w:t>
      </w:r>
    </w:p>
    <w:p>
      <w:r>
        <w:rPr>
          <w:b/>
        </w:rPr>
        <w:t xml:space="preserve">Quelle: </w:t>
      </w:r>
      <w:r>
        <w:t>https://mcp.opencaselaw.ch/entscheid/bger_6B_1046_2010</w:t>
      </w:r>
    </w:p>
    <w:p>
      <w:r>
        <w:t>FR: TF 6B_1046/2010 du 4 janvier 2011</w:t>
      </w:r>
    </w:p>
    <w:p>
      <w:r>
        <w:t>IT: TF 6B_1046/2010 del 4 gennaio 2011</w:t>
      </w:r>
    </w:p>
    <w:p>
      <w:pPr>
        <w:pStyle w:val="Heading2"/>
      </w:pPr>
      <w:r>
        <w:t>Erwägungen</w:t>
      </w:r>
    </w:p>
    <w:p>
      <w:r>
        <w:rPr>
          <w:b/>
        </w:rPr>
        <w:t>E. 1</w:t>
      </w:r>
    </w:p>
    <w:p>
      <w:r>
        <w:t>Staatsanwaltschaft des Kantons Basel-Landschaft, Bahnhofplatz 3a, 4410 Liestal,</w:t>
      </w:r>
    </w:p>
    <w:p>
      <w:r>
        <w:rPr>
          <w:b/>
        </w:rPr>
        <w:t>E. 2</w:t>
      </w:r>
    </w:p>
    <w:p>
      <w:r>
        <w:t>Die Gerichtskosten sind dem Beschwerdeführer aufzuerlegen ( Art. 66 Abs. 1 BGG ). Das Gesuch um unentgeltliche Rechtspflege ist in Anwendung von Art. 64 BGG abzuweisen, weil die Rechtsbegehren aussichtslos erschienen. Der finanziellen Lage des Beschwerdeführers ist bei der Bemessung der Gerichtsgebühr Rechnung zu tragen ( Art. 65 Abs. 2 BGG ). Der Beschwerdegegnerin 2 ist keine Entschädigung auszurichten, weil sie vor Bundesgericht keine Umtriebe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