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6B_1045/2018 vom 1. Februar 2019</w:t>
      </w:r>
    </w:p>
    <w:p>
      <w:r>
        <w:t>Bundesgericht, 2019-02-01, DE</w:t>
      </w:r>
    </w:p>
    <w:p>
      <w:r>
        <w:rPr>
          <w:b/>
        </w:rPr>
        <w:t xml:space="preserve">Quelle: </w:t>
      </w:r>
      <w:r>
        <w:t>https://mcp.opencaselaw.ch/entscheid/bger_6B_1045_2018</w:t>
      </w:r>
    </w:p>
    <w:p>
      <w:r>
        <w:t>FR: TF 6B_1045/2018 du 1 février 2019</w:t>
      </w:r>
    </w:p>
    <w:p>
      <w:r>
        <w:t>IT: TF 6B_1045/2018 del 1 febbraio 2019</w:t>
      </w:r>
    </w:p>
    <w:p>
      <w:pPr>
        <w:pStyle w:val="Heading2"/>
      </w:pPr>
      <w:r>
        <w:t>Erwägungen</w:t>
      </w:r>
    </w:p>
    <w:p>
      <w:r>
        <w:rPr>
          <w:b/>
        </w:rPr>
        <w:t>E. 1.1</w:t>
      </w:r>
    </w:p>
    <w:p>
      <w:r>
        <w:t>Der Beschwerdeführer macht sinngemäss geltend, dass keine Gefahr weiterer Gewalt- und Tötungsdelikte bestehe (Beschwerde, S. 8 f.).</w:t>
      </w:r>
    </w:p>
    <w:p>
      <w:r>
        <w:rPr>
          <w:b/>
        </w:rPr>
        <w:t>E. 1.2</w:t>
      </w:r>
    </w:p>
    <w:p>
      <w:r>
        <w:t>Die Vorinstanz behandelt diese Frage unter dem Blickwinkel der Verhältnismässigkeit. Sie erwägt, dass diesem Aspekt - anders als in Fällen, in welchen die Verlängerung oder die Behandlung einer Massnahme zu beurteilen seien - nur eine untergeordnete Rolle zukomme. Es lasse sich allerdings feststellen, dass dem Beschwerdeführer die Weiterführung der Massnahme in einem geschlossenen Setting aufgrund dessen Gesundheitszustandes, der durchaus weitere (Gewalt-) Delinquenz auslösen könnte, zuzumuten sei. Dies gelte nicht zuletzt auch deshalb, weil die Institution, in welcher der Beschwerdeführer untergebracht sei, in einem relativ offenen Rahmen geführt werde. In dem relativ kurz bevorstehenden Verfahren nach Art. 59 Abs. 4 StGB müsse immerhin ernsthaft die Frage geprüft werden, ob einem allfälligen Behandlungsbedürfnis des Beschwerdeführers in Zukunft nicht über eine fürsorgerische Unterbringung im Sinne von Art. 426 ff. ZGB Rechnung zu tragen sei. Die Vorinstanz erwägt weiter, dass das Verhältnismässigkeitsprinzip mit zunehmender Dauer des Vollzugs an Bedeutung gewinne. Je länger der Freiheitsentzug gedauert habe, umso höhere Anforderungen seien an die Art und Wahrscheinlichkeit künftiger Straftaten zu stellen. Es dürfe in diesem Zusammenhang nicht ausser Acht gelassen werden, dass beim Beschwerdeführer auf psychiatrischer Seite noch ein gewisses Aggressionspotential erkannt werde, entsprechende Gesetzesverstösse nach einhelliger Auffassung aber einzig im Bereich von Bagatelldelinquenz zu erwarten seien. Es dürfte unter diesen Umständen fraglich sein, ob sich eine Fortführung der strafrechtlichen Massnahme unter rechtlichen Aspekten begründen lasse. Die entsprechende rechtliche Situation scheine auch die zuständige Vollzugsbehörde nicht verkannt zu haben. Jedenfalls sei in diesem Sinne positiv zu bewerten, dass gemäss einem letzten Standortgespräch im Hinblick auf den Ablauf der Massnahme in anderthalb Jahren konkrete Lockerungen ins Auge gefasst worden seien. So seien extensivere Ausgänge in den nächsten sechs Monaten und die Etablierung einer offeneren Platzierung im Pflegezentrum in einem Jahr vorgesehen. Auf diese Weise sollen später im Verfahren betreffend Verlängerung oder Aufhebung der Massnahme die vernünftigen weiteren Vorkehren zufriedenstellend evaluiert werden können. Zu begrüssen sei auch, dass auf eine Depotmedikation hingearbeitet werde. Im Ergebnis sei eine bedingte Entlassung aus der stationären therapeutischen Massnahme zum heutigen Zeitpunkt verfrüht (Urteil, S. 14 f.).</w:t>
      </w:r>
    </w:p>
    <w:p>
      <w:r>
        <w:rPr>
          <w:b/>
        </w:rPr>
        <w:t>E. 1.3.1</w:t>
      </w:r>
    </w:p>
    <w:p>
      <w:r>
        <w:t>Gemäss Art. 56 Abs. 1 StGB ist eine Massnahme anzuordnen, wenn eine Strafe alleine nicht geeignet ist, die Gefahr weiterer Straftaten des Täters zu begegnen (lit. a), ein Behandlungsbedürfnis des Täters besteht oder die öffentliche Sicherheit dies erfordert (lit. b) und die Voraussetzungen der Artikel 59-61, 63 oder 64 StGB erfüllt sind (lit. c). Nach Art. 56 Abs. 2 StGB setzt die Anordnung einer Massnahme voraus, dass der mit ihr verbundene Eingriff in die Persönlichkeitsrechte des Täters im Hinblick auf die Wahrscheinlichkeit und Schwere weiterer Straftaten nicht unverhältnismässig ist. Die Voraussetzungen von Art. 56 Abs. 1 und 2 StGB müssen stets vorliegen und nach der Rechtsprechung auch im Rahmen von Folgeentscheidungen beachtet werden. Eine Massnahme, für welche die Voraussetzungen nicht mehr erfüllt sind, ist gemäss Art. 56 Abs. 6 StGB aufzuheben (Urteile 6B_798/2014 vom 20. Mai 2015 E. 2, nicht publiziert in: BGE 141 IV 203 ; 6B_669/2017 vom 27. April 2018 E. 1.2.1).</w:t>
      </w:r>
    </w:p>
    <w:p>
      <w:r>
        <w:t>Bei der im Rahmen von Art. 56 Abs. 2 StGB erforderlichen Abwägung der sich widerstreitenden Interessen sind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freiheitsentziehende Massnahme rechtfertigt, und umgekehrt (Urteil 6B_823/2018 vom 12. September 2018 E. 2.1; Urteil 6B_109/2013 vom 19. Juli 2013 E. 4.4.3). Unzulässig ist die Anordnung einer Massnahme, wenn von einem Täter in Zukunft blosse Übertretungen oder andere Delikte von weniger grosser Tragweite zu erwarten sind (MARIANNE HEER, in: Basler Kommentar, Strafrecht I, 4. Aufl. 2019, N. 37 zu Art. 56 StGB ).</w:t>
      </w:r>
    </w:p>
    <w:p>
      <w:r>
        <w:rPr>
          <w:b/>
        </w:rPr>
        <w:t>E. 1.3.2</w:t>
      </w:r>
    </w:p>
    <w:p>
      <w:r>
        <w:t>Im Hinblick auf die Wahrscheinlichkeit und Schwere weiterer Straftaten erwägt die Vorinstanz lediglich, dass es fraglich sein dürfte, ob sich eine Fortführung der Massnahme unter rechtlichen Aspekten begründen lasse. Eine Abwägung der (einzig) relevanten Umstände - Schwere des massnahmebedingten Eingriffs einerseits und der noch möglichen Straftaten anderseits - findet aber nicht statt. Die Sache ist an die Vorinstanz zurückzuweisen, damit diese die Verhältnismässigkeit der Massnahme unter diesem Blickwinkel überprüft und entsprechend ihrer Erkenntnis neu entscheidet.</w:t>
      </w:r>
    </w:p>
    <w:p>
      <w:r>
        <w:rPr>
          <w:b/>
        </w:rPr>
        <w:t>E. 2</w:t>
      </w:r>
    </w:p>
    <w:p>
      <w:r>
        <w:t>Das angefochtene Urteil ist aufzuheben und die Sache zu neuer Entscheidung an die Vorinstanz zurückzuweisen. Es erübrigt sich damit, auf die weiteren Rügen des Beschwerdeführers einzugehen.</w:t>
      </w:r>
    </w:p>
    <w:p>
      <w:r>
        <w:t>Für das bundesgerichtliche Verfahren sind keine Kosten zu erheben ( Art. 66 Abs. 1 und 4 BGG ). Das Gesuch des Beschwerdeführers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