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6B_1045/2016 vom 25. Januar 2017</w:t>
      </w:r>
    </w:p>
    <w:p>
      <w:r>
        <w:t>Bundesgericht, 2017-01-25, DE</w:t>
      </w:r>
    </w:p>
    <w:p>
      <w:r>
        <w:rPr>
          <w:b/>
        </w:rPr>
        <w:t xml:space="preserve">Quelle: </w:t>
      </w:r>
      <w:r>
        <w:t>https://mcp.opencaselaw.ch/entscheid/bger_6B_1045_2016</w:t>
      </w:r>
    </w:p>
    <w:p>
      <w:r>
        <w:t>FR: TF 6B_1045/2016 du 25 janvier 2017</w:t>
      </w:r>
    </w:p>
    <w:p>
      <w:r>
        <w:t>IT: TF 6B_1045/2016 del 25 gennaio 2017</w:t>
      </w:r>
    </w:p>
    <w:p>
      <w:pPr>
        <w:pStyle w:val="Heading2"/>
      </w:pPr>
      <w:r>
        <w:t>Erwägungen</w:t>
      </w:r>
    </w:p>
    <w:p>
      <w:r>
        <w:rPr>
          <w:b/>
        </w:rPr>
        <w:t>E. 1.1</w:t>
      </w:r>
    </w:p>
    <w:p>
      <w:r>
        <w:t>Der Beschwerdeführer macht sinngemäss eine Verletzung seines rechtlichen Gehörs geltend. Er bringt vor, die Vorinstanz befasse sich nur rudimentär mit der von ihm gerügten Verletzung des Öffentlichkeitsprinzips und gelange dabei zum Schluss, dass soweit die erste Instanz den Öffentlichkeitsgrundsatz verletzt habe, diese Verletzung durch die öffentlich durchgeführte Berufungsverhandlung geheilt werde. Eine solche Heilung komme jedoch nur bei geringfügigen Beeinträchtigungen von Verfahrensgarantien in Frage und nur, wenn die Rechtsmittelinstanz in sachlicher und rechtlicher Hinsicht über die gleiche Kognition wie die Vorinstanz verfüge. Da die zweite Instanz vorliegend lediglich über eine auf rechtliche Fragen beschränkte Kognition verfügte, habe eine Heilung des gerügten Verfahrensmangels nicht erfolgen können. Die Verletzung von Verfahrensgarantien führe aufgrund des formellen Charakters zur Aufhebung des angefochtenen Entscheids (Beschwerde, S. 12 f.).</w:t>
      </w:r>
    </w:p>
    <w:p>
      <w:r>
        <w:rPr>
          <w:b/>
        </w:rPr>
        <w:t>E. 1.2</w:t>
      </w:r>
    </w:p>
    <w:p>
      <w:r>
        <w:t>Die Vorinstanz erwägt (Urteil, S. 3 f.), der Heilung einer allfälligen erstinstanzlichen Gehörsverletzung in oberer Instanz stehe nichts entgegen, da der Strafappellationshof in Rechtsfragen über volle Kognition verfüge. Gleiches gelte für eine allfällige Verletzung des Öffentlichkeitsgrundsatzes. Sollte das erstinstanzliche Gericht durch den Ausschluss der Öffentlichkeit von der Verhandlung vom 1. Dezember 2015 eine solche begangen haben, so wäre sie durch die öffentlich durchgeführte Berufungsverhandlung geheilt worden. Unter diesen Umständen könne offen gelassen werden, ob die erste Instanz das Öffentlichkeitsprinzip effektiv verletzt habe.</w:t>
      </w:r>
    </w:p>
    <w:p>
      <w:r>
        <w:rPr>
          <w:b/>
        </w:rPr>
        <w:t>E. 1.3</w:t>
      </w:r>
    </w:p>
    <w:p>
      <w:r>
        <w:t>Mit ihrer Argumentation übersieht die Vorinstanz, dass nach der bundesgerichtlichen Rechtsprechung Verfahrensmängel im Rechtsmittelverfahren nur geheilt werden können, wenn die Rechtsmittelinstanz über dieselbe Kognition verfügt, wie die erste Instanz (und dem Beschwerdeführer daraus kein Nachteil erwächst; BGE 133 I 201 E. 2.2 S. 204 f. mit Hinweis). Wie sie selbst festhält, verfügt die Vorinstanz im vorliegenden Verfahren gemäss Art. 398 Abs. 4 StPO (der bezüglich des kantonalen Strafrechts gestützt auf Art. 2 des kantonalen Justizgesetzes vom 31. Mai 2010 [JG; SGF 130.1] und damit als kantonales Recht Anwendung findet) lediglich in Rechtsfragen über eine volle Kognition. Die Sachverhaltsfeststellung hingegen kann sie nur auf Willkür hin überprüfen, was im Vergleich zur ersten Instanz eine beschränkte Kognition bedeutet. Die Heilung einer allfällig vor erster Instanz erfolgten Verletzung des Öffentlichkeitsprinzips durch die Vorinstanz ist im konkreten Fall daher ausgeschlossen. Indem die Vorinstanz fälschlicherweise davon ausgeht, eine solche Heilung sei erfolgt, und sich in der Folge nicht mit der entsprechenden (entscheidwesentlichen) Rüge des Beschwerdeführers auseinandersetzt, verletzt sie dessen rechtliches Gehör.</w:t>
      </w:r>
    </w:p>
    <w:p>
      <w:r>
        <w:rPr>
          <w:b/>
        </w:rPr>
        <w:t>E. 2</w:t>
      </w:r>
    </w:p>
    <w:p>
      <w:r>
        <w:t>Die Beschwerde ist gutzuheissen und die Sache an die Vorinstanz zurückzuweisen. Diese wird die vom Beschwerdeführer geltend gemachte Verletzung des Öffentlichkeitsgrundsatzes durch die erste Instanz zu prüfen haben. Für das bundesgerichtliche Verfahren sind keine Kosten zu erheben ( Art. 66 Abs. 1 und 4 BGG ). Der Kanton Freiburg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