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6B_1043/2023 vom 10. April 2024</w:t>
      </w:r>
    </w:p>
    <w:p>
      <w:r>
        <w:t>Bundesgericht, 2024-04-10, FR</w:t>
      </w:r>
    </w:p>
    <w:p>
      <w:r>
        <w:rPr>
          <w:b/>
        </w:rPr>
        <w:t xml:space="preserve">Quelle: </w:t>
      </w:r>
      <w:r>
        <w:t>https://mcp.opencaselaw.ch/entscheid/bger_6B_1043_2023</w:t>
      </w:r>
    </w:p>
    <w:p>
      <w:r>
        <w:t>FR: TF 6B_1043/2023 du 10 avril 2024</w:t>
      </w:r>
    </w:p>
    <w:p>
      <w:r>
        <w:t>IT: TF 6B_1043/2023 del 10 aprile 2024</w:t>
      </w:r>
    </w:p>
    <w:p>
      <w:pPr>
        <w:pStyle w:val="Heading2"/>
      </w:pPr>
      <w:r>
        <w:t>Erwägungen</w:t>
      </w:r>
    </w:p>
    <w:p>
      <w:r>
        <w:rPr>
          <w:b/>
        </w:rPr>
        <w:t>E. 1</w:t>
      </w:r>
    </w:p>
    <w:p>
      <w:r>
        <w:t>Le recourant conteste exclusivement sa condamnation des chefs d'utilisation frauduleuse d'un ordinateur et de tentative de cette infraction pour tout acte autre que ceux commis le 20 juin 2010 à U.________ à 15h16 (cf. cas 3 de l'acte d'accusation). Il invoque l'arbitraire dans l'établissement des faits sur ce point et se prévaut du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6B_893/2023 du 26 février 2024 consid. 6.1; 6B_313/2023 du 23 octobre 2023 consid. 3.1; 6B_770/2023 du 20 octobre 2023 consid. 3.1.2).</w:t>
      </w:r>
    </w:p>
    <w:p>
      <w:r>
        <w:rPr>
          <w:b/>
        </w:rPr>
        <w:t>E. 1.2</w:t>
      </w:r>
    </w:p>
    <w:p>
      <w:r>
        <w:t>À teneur de l' art. 147 al. 1 CP ,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w:t>
      </w:r>
    </w:p>
    <w:p>
      <w:r>
        <w:t>Selon l' art. 22 al. 1 CP , le juge peut atténuer la peine si l'exécution d'un crime ou d'un délit n'est pas poursuivie jusqu'à son terme ou que le résultat nécessaire à la consommation de l'infraction ne se produit pas ou ne pouvait pas se produire.</w:t>
      </w:r>
    </w:p>
    <w:p>
      <w:r>
        <w:rPr>
          <w:b/>
        </w:rPr>
        <w:t>E. 1.3</w:t>
      </w:r>
    </w:p>
    <w:p>
      <w:r>
        <w:t>De manière générale, la cour cantonale a retenu que les frères A.________ avaient des pratiques claires d'abus de cartes d'identité pour demander des cartes de crédit, qu'ils utilisaient pour commander des objets ensuite revendus sur internet. S'agissant des actes ressortant du ch. 3 de l'acte d'accusation, la cour cantonale a notamment retenu que le recourant avait été filmé lors du premier retrait au distributeur et que la carte avait été retrouvée chez D.A.________, lequel avait expliqué l'avoir reçue du recourant. La cour cantonale a relevé que le recourant n'avait, à l'époque, pas pu être entendu parce qu'il était à l'étranger, signalé au Ripol. Appréciant ses déclarations en première instance, selon lesquelles il avait donné la carte avec l'argent du premier retrait à son cousin, la cour cantonale a considéré que cette version n'était pas crédible puisque la carte avait été retrouvée chez son frère. Le recourant ne cessait de mentir. En outre, la plupart des paiements litigieux avaient été effectués dans la région de U.________, où habitait le recourant, puis à X.________, où habitait son frère, D.A.________. La cour cantonale a également apprécié les déclarations de D.A.________ et de l'amie intime de ce dernier, s'agissant des documents retrouvés au domicile du premier nommé. Elle a considéré que le petit conflit entre les frères, qualifié de broutilles par D.A.________, ne permettait pas d'envisager sérieusement que ce dernier mentait dans l'intention de mettre faussement en cause le recourant. La cour cantonale a également fait sien le raisonnement des premiers juges concernant la mise en cause du recourant par I.________ s'agissant des cartes d'identité volées dans une mairie ainsi que la carte B.________. En définitive, il ne faisait aucun doute que le recourant avait utilisé la carte jusqu'au moment où il l'avait donnée à son frère.</w:t>
      </w:r>
    </w:p>
    <w:p>
      <w:r>
        <w:rPr>
          <w:b/>
        </w:rPr>
        <w:t>E. 1.4</w:t>
      </w:r>
    </w:p>
    <w:p>
      <w:r>
        <w:t>En l'espèce, le recourant cite l' art. 147 CP , sans développer le moindre grief en lien avec les éléments constitutifs de cette infraction (cf. art. 42 al. 2 LTF ).</w:t>
      </w:r>
    </w:p>
    <w:p>
      <w:r>
        <w:t>Sous l'angle des faits, il conteste avoir effectué d'autres retraits que celui du 20 juin 2010 à 15h16, en se contentant de livrer sa propre appréciation de certaines preuves et à l'opposer à celle de la cour cantonale sans démontrer en quoi celle-ci aurait sombré dans l'arbitraire. Alors que le recourant demande son acquittement pour les autres actes que celui du 20 juin 2010 à 15h16, il ne tente pas de démontrer l'arbitraire de la constatation selon laquelle il est l'auteur des tentatives de retrait du même jour au même distributeur à 15h17 et 15h18. S'agissant des actes suivants, il se contente d'affirmer que ses propres mensonges en cours de procédure et la proximité géographique retenus par la cour cantonale seraient insuffisants pour constituer une preuve de sa culpabilité. Cela étant, il isole certains éléments retenus par l'autorité précédente de manière inadmissible. En tout état, l'on cherche en vain dans les écritures du recourant une critique du raisonnement suivi par l'autorité précédente, répondant aux exigences de motivation prévues aux art. 42 al. 2 et 106 al. 2 LTF. Ainsi, en affirmant que les paiements postérieurs au premier retrait de 1'000 fr. n'auraient pas été examinés, il ne formule aucun grief recevable sous l'angle des dispositions précitées, étant précisé qu'il a été entendu en première instance et en appel sur ces retraits. En définitive, le recourant ne tente pas de démontrer que, sur la base des éléments de preuve exposés de manière détaillée par l'autorité précédente, il était manifestement insoutenable de retenir que l'intéressé avait utilisé la carte de crédit en cause pour divers achats et retraits d'argent entre le 20 juin 2010 à 15h17 et le 2 juillet 2010.</w:t>
      </w:r>
    </w:p>
    <w:p>
      <w:r>
        <w:t>Le recourant ne formule aucun grief s'agissant de la peine prononcée (cf. art. 47 et 49 CP ), indépendamment de ses développements en lien avec l'infraction en cause.</w:t>
      </w:r>
    </w:p>
    <w:p>
      <w:r>
        <w:rPr>
          <w:b/>
        </w:rPr>
        <w:t>E. 2</w:t>
      </w:r>
    </w:p>
    <w:p>
      <w:r>
        <w:t>Au vu de ce qui précède, le recours doit être déclaré irrecevable. Comme le recours était dénué de chances de succès, la demande d'assistance judiciaire doit être rejetée ( art. 64 al. 1 LTF ). Le recourant, qui succombe, supportera les frais judiciaires dont le montant sera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