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6B_1043/2019 vom 26. September 2019</w:t>
      </w:r>
    </w:p>
    <w:p>
      <w:r>
        <w:t>Bundesgericht, 2019-09-26, FR</w:t>
      </w:r>
    </w:p>
    <w:p>
      <w:r>
        <w:rPr>
          <w:b/>
        </w:rPr>
        <w:t xml:space="preserve">Quelle: </w:t>
      </w:r>
      <w:r>
        <w:t>https://mcp.opencaselaw.ch/entscheid/bger_6B_1043_2019</w:t>
      </w:r>
    </w:p>
    <w:p>
      <w:r>
        <w:t>FR: TF 6B_1043/2019 du 26 septembre 2019</w:t>
      </w:r>
    </w:p>
    <w:p>
      <w:r>
        <w:t>IT: TF 6B_1043/2019 del 26 settembre 2019</w:t>
      </w:r>
    </w:p>
    <w:p>
      <w:pPr>
        <w:pStyle w:val="Heading2"/>
      </w:pPr>
      <w:r>
        <w:t>Erwägungen</w:t>
      </w:r>
    </w:p>
    <w:p>
      <w:r>
        <w:rPr>
          <w:b/>
        </w:rPr>
        <w:t>E. 1</w:t>
      </w:r>
    </w:p>
    <w:p>
      <w:r>
        <w:t>Par arrêt du 25 juillet 2019, la Chambre pénale de recours de la Cour de justice de la République et canton de Genève a rejeté le recours formé par X.________ contre l'ordonnance du 24 avril 2019 par laquelle le Ministère public genevois a refusé d'entrer en matière sur la plainte déposée par le prénommé contre inconnu pour diffamation et calomnie.</w:t>
      </w:r>
    </w:p>
    <w:p>
      <w:r>
        <w:t>X.________ forme un recours en matière pénale contre l'arrêt précité. Il conclut, avec suite de frais et dépens, principalement, à l'annulation de l'arrêt attaqué et de l'ordonnance du 24 avril 2019 et au renvoi de la cause au ministère public pour qu'il ouvre et mène une instruction, subsidiairement, à l'annulation de l'arrêt attaqué et au renvoi de la cause à l'autorité précédente pour nouvelle décision au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(parmi d'autres: arrêts 6B_637/2019 du 8 août 2019 consid. 1.2; 6B_576/2019 du 20 mai 2019 consid. 2.1; 6B_414/2019 du 5 avril 2019 consid. 4.1).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6B_637/2019 précité consid. 1.2; 6B_576/2019 précité consid. 2.1; 6B_1202/2018 du 11 janvier 2019 consid. 1.1 et les références citées).</w:t>
      </w:r>
    </w:p>
    <w:p>
      <w:r>
        <w:rPr>
          <w:b/>
        </w:rPr>
        <w:t>E. 2.2</w:t>
      </w:r>
    </w:p>
    <w:p>
      <w:r>
        <w:t>Le recourant prétend, sans autre explication, à l'allocation d'une indemnité pour tort moral. Il n'expose pas en quoi l'atteinte prétendument subie serait suffisamment grave pour justifier une telle allocation, ni ne fournit de précision concernant la souffrance morale qu'il aurait éprouvée ensuite des agissements dont il se plaint. Pour le surplus, le recourant soutient avoir été licencié à la suite des accusations diffamatoires dont il a fait l'objet. Les prétentions dont se prévaut le recourant découlent, non pas directement des propos litigieux, mais des relations contractuelles de droit du travail qui le lient à son employeur, plus particulièrement de la rupture de celles-ci. Ce faisant, il invoque un dommage qui résulte indirectement des agissements incriminés. A cet égard, le recourant admet par ailleurs lui-même avoir fait valoir ses prétentions devant la justice des prud'hommes. Au vu de ce qui précède, l'absence d'explication suffisante sur la question des prétentions civiles exclut la qualité pour recourir du recourant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Tel n'est pas le cas en l'occurrence.</w:t>
      </w:r>
    </w:p>
    <w:p>
      <w:r>
        <w:rPr>
          <w:b/>
        </w:rPr>
        <w:t>E. 3</w:t>
      </w:r>
    </w:p>
    <w:p>
      <w:r>
        <w:t>Sur le vu de ce qui précède, le recours doit être déclaré irrecevable selon la procédure simplifiée prévue par l' art. 108 al. 1 let. a et b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