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6B_1043/2015 vom 9. Dezember 2015</w:t>
      </w:r>
    </w:p>
    <w:p>
      <w:r>
        <w:t>Bundesgericht, 2015-12-09, FR</w:t>
      </w:r>
    </w:p>
    <w:p>
      <w:r>
        <w:rPr>
          <w:b/>
        </w:rPr>
        <w:t xml:space="preserve">Quelle: </w:t>
      </w:r>
      <w:r>
        <w:t>https://mcp.opencaselaw.ch/entscheid/bger_6B_1043_2015</w:t>
      </w:r>
    </w:p>
    <w:p>
      <w:r>
        <w:t>FR: TF 6B_1043/2015 du 9 décembre 2015</w:t>
      </w:r>
    </w:p>
    <w:p>
      <w:r>
        <w:t>IT: TF 6B_1043/2015 del 9 dicembre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en matière pénale au sens de l' art. 78 LTF . Elle a un caractère final puisqu'elle confirme le refus d'entrer en matière sur une plainte pénale ( art. 90 LTF ). Elle émane en outre de l'autorité cantonale de dernière instance ( art. 80 LTF ) et les recourants ont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140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émis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Dans leur mémoire, les recourants invoquent les infractions d'appropriation illégitime ( art. 137 CP ), ainsi que de contrainte ( art. 181 CP ) et prétendent faire valoir les montants suivants : (1) les impôts sur les véhicules pour la période entre le 3 mars 2013 (décès de C.X.________) et le 24 juillet 2014 (Mercedes et Range Rover), respectivement le 24 avril 2014 (date du vol de la VW); (2) les primes d'assurance responsabilité civile et casco partielle pour les mêmes périodes; (3) la dépréciation des véhicules en raison de l'écoulement du temps et de l'utilisation effectuée depuis le 3 mars 2013 jusqu'au 24 avril 2014 (VW), respectivement au 23 avril 2015 (Mercedes et Ranger Rover); (4) les frais de gardiennage des roues d'été de la Ranger Rover; et (5) les factures d'essence relatives aux pleins effectués entre avril et juin 2013. Les montants invoqués sont éventuellement susceptibles de fonder un dommage par rapport à l'infraction réprimée par l' art. 137 CP , encore que les recourants n'expliquent pas en quoi ils seraient individuellement et spécifiquement touchés, en particulier s'agissant du patrimoine distinct de la société recourante (cf. arrêt 6B_936/2013 du 14 février 2014 consid. 1.2). Les recourants ne donnent pas non plus d'explication topique quant au dommage résultant directement et spécifiquement de l'infraction de contrainte alléguée. Quoi qu'il en soit, en supposant qu'ils disposeraient de la qualité pour recourir sur le fond, les griefs formulés sont infondés.</w:t>
      </w:r>
    </w:p>
    <w:p>
      <w:r>
        <w:rPr>
          <w:b/>
        </w:rPr>
        <w:t>E. 2</w:t>
      </w:r>
    </w:p>
    <w:p>
      <w:r>
        <w:t>Les recourants reprochent à l'autorité précédente de ne pas avoir donné suite à leur requête tendant à la production du dossier de la cause P/zzz.</w:t>
      </w:r>
    </w:p>
    <w:p>
      <w:r>
        <w:t>Cependant, les recourants reconnaissent eux-mêmes que les faits liés à la présente cause concernent uniquement trois véhicules et que la procédure P/zzz traite d'autres faits (cf. ad 23 s. de leur mémoire de recours). Dès lors, même si des infractions identiques (cf. en particulier la contrainte alléguée) sont examinées dans les deux procédures, l'appréciation de la cour cantonale - qui tend à limiter son examen aux faits dénoncés le 8 juillet 2015 - ne prête pas le flanc à la critique.</w:t>
      </w:r>
    </w:p>
    <w:p>
      <w:r>
        <w:t>Ces mêmes considérations permettent d'ailleurs de rejeter la réquisition similaire déposée par les recourants devant le Tribunal fédéral.</w:t>
      </w:r>
    </w:p>
    <w:p>
      <w:r>
        <w:rPr>
          <w:b/>
        </w:rPr>
        <w:t>E. 3</w:t>
      </w:r>
    </w:p>
    <w:p>
      <w:r>
        <w:t>Se plaignant d'établissement manifestement inexacte des faits, les recourants font grief à la juridiction précédente de s'être contentée de rappeler leurs propres allégués en lien avec la procédure de séquestre, sans les trancher afin d'établir les faits de manière exhaustive. Cependant, contrairement à ce qu'ils soutiennent, la cour cantonale a rappelé les faits intervenus précédemment à la mise sous séquestre de la Mercedes et de la Ranger Rover. Elle a ainsi retenu que D.________ était en possession des trois véhicules litigieux, qu'elle ne s'était pas conformée aux mises en demeure visant à la restitution de ceux-ci qui lui avaient été adressées par Y.________ SA les 24 janvier, 13 mars et 15 avril 2014, qu'un séquestre avait été prononcé sur les deux véhicules susmentionnés entre le 25 avril 2014 et le 7 avril 2015 et qu'à la levée de cette mesure, les deux voitures avaient été restituées aux recourants (cf. consid. 3.3 p. 7).</w:t>
      </w:r>
    </w:p>
    <w:p>
      <w:r>
        <w:t>Les recourants reprochent ensuite à l'autorité précédente de ne pas avoir constaté que, dans le cadre de sa demande de séquestre, D.________ aurait indiqué que Y.________ SA serait la propriétaire des véhicules, tout en sachant que tel n'était pas le cas vu ses déclarations au cours de la procédure pénale; cela démontrerait l' "artifice" que serait le séquestre intenté par l'intéressée pour justifier sa possession. Ce grief est toutefois dénué de toute pertinence. En effet, les recourants omettent de rappeler que l'audition de D.________ est intervenue postérieurement (avril 2015) à sa requête de séquestre (avril 2014). Or, à cette époque, Y.________ SA se présentait expressément comme la propriétaire desdits véhicules (cf. son courrier du 24 janvier 2014). Un séquestre civil portant sur les biens de la société pouvait donc permettre, le cas échéant, à D.________ de garantir les prétentions alléguées détenues à son encontre.</w:t>
      </w:r>
    </w:p>
    <w:p>
      <w:r>
        <w:t>Partant, les griefs relatifs à l'établissement inexact des faits peuvent être rejetés.</w:t>
      </w:r>
    </w:p>
    <w:p>
      <w:r>
        <w:rPr>
          <w:b/>
        </w:rPr>
        <w:t>E. 4</w:t>
      </w:r>
    </w:p>
    <w:p>
      <w:r>
        <w:t>Soutenant que la réalisation des éléments constitutifs de l'appropriation illégitime ( art. 137 CP ) et de la contrainte ( art. 181 CP ) seraient réalisés, les recourants reprochent à la juridiction cantonale des violations de l' art. 310 al. 1 let. a CPP et du principe "in dubio pro duriore".</w:t>
      </w:r>
    </w:p>
    <w:p>
      <w:r>
        <w:rPr>
          <w:b/>
        </w:rPr>
        <w:t>E. 4.1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cette disposition doit être appliquée conformément à l'adage "in dubio pro duriore" (arrêt 6B_127/2013 du 3 septembre 2013 consid. 4.1). Celui-ci découle du principe de la légalité ( art. 5 al. 1 Cst. et 2 al. 2 CPP en relation avec les art.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w:t>
      </w:r>
    </w:p>
    <w:p>
      <w:r>
        <w:rPr>
          <w:b/>
        </w:rPr>
        <w:t>E. 4.2</w:t>
      </w:r>
    </w:p>
    <w:p>
      <w:r>
        <w:t>Selon l' art. 137 CP ,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(ch.1). Si l'auteur a trouvé la chose ou si celle-ci est tombée en son pouvoir indépendamment de sa volonté, s'il a agi sans dessein d'enrichissement ou si l'acte a été commis au préjudice des proches ou des familiers, l'infraction ne sera poursuivie que sur plainte (ch. 2).</w:t>
      </w:r>
    </w:p>
    <w:p>
      <w:r>
        <w:rPr>
          <w:b/>
        </w:rPr>
        <w:t>E. 4.2.1</w:t>
      </w:r>
    </w:p>
    <w:p>
      <w:r>
        <w:t>Cette disposition présuppose notamment l'appropriation d'une chose mobilière appartenant à autrui (BERNARD CORBOZ, Les infractions en droit suisse, vol. I, 3e éd. 2010, nos 9 ss ad art. 137 CP ), ainsi qu'un dessein d'enrichissement illégitime de la part de l'auteur (CORBOZ, op. cit., nos 15 s. ad art. 137 CP ).</w:t>
      </w:r>
    </w:p>
    <w:p>
      <w:r>
        <w:t>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p. 227; 121 IV 25 consid. 1c p. 25; 118 IV 148 consid. 2a p. 151 s.). Il n'y a pas d'appropriation si d'emblée l'auteur veut rendre la chose intacte après un acte d'utilisation. Elle intervient cependant sans droit lorsque l'auteur ne peut la justifier par une prétention qui lui soit reconnue par l'ordre juridique (CORBOZ, op. cit., n° 11 ad art. 137 CP ).</w:t>
      </w:r>
    </w:p>
    <w:p>
      <w:r>
        <w:t>Sur le plan subjectif ensuite, l'auteur doit avoir agi intentionnellement et dans un dessein d'enrichissement illégitime.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 ATF 121 IV 104 consid. 2c p. 107 et les références citées; CORBOZ, op. cit., n° 15 ad art. 137 CP renvoyant aux nos 10 ss ad art. 138 CP ).</w:t>
      </w:r>
    </w:p>
    <w:p>
      <w:r>
        <w:rPr>
          <w:b/>
        </w:rPr>
        <w:t>E. 4.2.2</w:t>
      </w:r>
    </w:p>
    <w:p>
      <w:r>
        <w:t>En l'occurrence, il ne peut être reproché à la juridiction précédente de n'avoir pas examiné la période entre le 3 mars 2013 et le 24 janvier 2014. En effet, aucune revendication des véhicules n'avait alors été adressée à D.________, dont il ne semble pas contesté qu'elle pouvait - préalablement au décès de son compagnon - utiliser lesdites voitures. Quand à la période subséquente (entre janvier et avril 2014), la cour cantonale a considéré que, si l'intéressée avait alors disposé sans droit des véhicules, la durée en cause ne permettait pas de conclure qu'elle ait eu la volonté de priver durablement les propriétaires ou la détentrice légitimes. Ce raisonnement vaut d'autant plus au vu de la créance - certes contestée par les recourants - alléguée détenue par D.________ contre Y.________ SA; cette prétention a d'ailleurs été évoquée lors des échanges intervenus à la suite des mises en demeure par la société (cf. le courrier du 21 mars 2014 de D.________). Cette absence de volonté d'appropriation est de plus confirmée par le dépôt le 25 avril 2014 d'une demande de séquestre civil des deux véhicules encore présents au domaine Y.________ afin de garantir ladite créance. Cette mesure permet ainsi, par le biais de moyens légaux, de régulariser la situation, notamment entre le 25 avril 2014 et le 7 avril 2015. Enfin, il n'est pas contesté qu'à la levée du séquestre, l'intéressée a restitué les véhicules. En tout état de cause, l'existence d'un dessein d'appropriation illégitime ne peut pas être déduit de l'absence de motif de séquestre retenu - par ailleurs ultérieurement - par la juridiction civile.</w:t>
      </w:r>
    </w:p>
    <w:p>
      <w:r>
        <w:t>C'est donc à juste titre que la cour cantonale a considéré que les conditions de réalisation de l'infraction d'appropriation illégitime ( art. 137 CP ) n'étaient pas réalisées et ce grief doit être rejeté. Il en irait de même de la qualification de vol ( art. 139 CP ), les recourants ne soulevant aucun grief topique à cet égard.</w:t>
      </w:r>
    </w:p>
    <w:p>
      <w:r>
        <w:rPr>
          <w:b/>
        </w:rPr>
        <w:t>E. 4.3</w:t>
      </w:r>
    </w:p>
    <w:p>
      <w:r>
        <w:t>L' 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4.3.1</w:t>
      </w:r>
    </w:p>
    <w:p>
      <w:r>
        <w:t>Alors que la violence consiste dans l'emploi d'une force physique d'une certaine intensité à l'encontre de la victime ( ATF 101 IV 42 consid. 3a p. 44 s.),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105 IV 120 consid. 2a p. 122).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137 IV 326 consid. 3.3.1 p. 328 et les arrêts cités).</w:t>
      </w:r>
    </w:p>
    <w:p>
      <w:r>
        <w:t>Selon la jurisprudence, la contrainte n'est contraire au droit que si elle est illicite (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137 IV 326 consid. 3.3.1 p. 328; 134 IV 216 consid. 4.1 p. 218 et les arrêts cités).</w:t>
      </w:r>
    </w:p>
    <w:p>
      <w:r>
        <w:t>Sur le plan subjectif, il faut que l'auteur ait agi intentionnellement, c'est-à-dire qu'il ait voulu contraindre la victime à adopter le comportement visé en étant conscient de l'illicéité de son comportement; le dol éventuel suffit ( ATF 120 IV 17 consid. 2c p. 22).</w:t>
      </w:r>
    </w:p>
    <w:p>
      <w:r>
        <w:rPr>
          <w:b/>
        </w:rPr>
        <w:t>E. 4.3.2</w:t>
      </w:r>
    </w:p>
    <w:p>
      <w:r>
        <w:t>En l'espèce, les recourants reprochent à l'autorité précédente d'avoir omis de constater que l'interdiction de pénétrer dans le domaine n'était pas qu'une simple déclaration, mais était doublée de la présence des employés de D.________, ainsi que d'une entreprise de sécurité avec des gardes et des chiens dressés; ces éléments permettraient de démontrer l'existence d'une menace d'un dommage sérieux au sens de l' art. 181 CP .</w:t>
      </w:r>
    </w:p>
    <w:p>
      <w:r>
        <w:t>De telles affirmations - notamment celles relatives aux chiens de garde - ne ressortent toutefois pas des faits retenus par l'autorité précédente. Les recourants ne formulent aucun grief recevable ( art. 106 al. 2 LTF ) démontrant l'arbitraire dans leur omission. Ces éléments de fait - sur lesquels est fondé l'essentiel de l'argumentation des recourants relative à l'infraction de contrainte - sont nouveaux et, par conséquent, ils sont irrecevables ( art. 99 al. 1 LTF ; BERNARD CORBOZ, in Commentaire de la LTF, 2e éd. 2014, n</w:t>
      </w:r>
    </w:p>
    <w:p>
      <w:r>
        <w:t>os 13a et 14 s. ad art. 99 LTF ).</w:t>
      </w:r>
    </w:p>
    <w:p>
      <w:r>
        <w:t>Au demeurant, la tardiveté de leur invocation ne tend qu'à renforcer l'appréciation émise par la juridiction précédente, à savoir l'absence d'une menace d'un dommage sérieux ( art. 181 CP ).</w:t>
      </w:r>
    </w:p>
    <w:p>
      <w:r>
        <w:rPr>
          <w:b/>
        </w:rPr>
        <w:t>E. 4.4</w:t>
      </w:r>
    </w:p>
    <w:p>
      <w:r>
        <w:t>Au regard des considérations précédentes, la Chambre pénale de recours n'a ainsi pas violé le principe "in dubio pro duriore" en confirmant l'ordonnance de non-entrée en matière rendue par le Ministère public ( art. 310 al. 1 let. a CPP ).</w:t>
      </w:r>
    </w:p>
    <w:p>
      <w:r>
        <w:rPr>
          <w:b/>
        </w:rPr>
        <w:t>E. 5</w:t>
      </w:r>
    </w:p>
    <w:p>
      <w:r>
        <w:t>Il s'ensuit que le recours est rejeté dans la mesure où il est recevable.</w:t>
      </w:r>
    </w:p>
    <w:p>
      <w:r>
        <w:t>Les recourants, qui succombent, supportent solidairement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