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6B_1043/2014 vom 25. November 2014</w:t>
      </w:r>
    </w:p>
    <w:p>
      <w:r>
        <w:t>Bundesgericht, 2014-11-25, DE</w:t>
      </w:r>
    </w:p>
    <w:p>
      <w:r>
        <w:rPr>
          <w:b/>
        </w:rPr>
        <w:t xml:space="preserve">Quelle: </w:t>
      </w:r>
      <w:r>
        <w:t>https://mcp.opencaselaw.ch/entscheid/bger_6B_1043_2014</w:t>
      </w:r>
    </w:p>
    <w:p>
      <w:r>
        <w:t>FR: TF 6B_1043/2014 du 25 novembre 2014</w:t>
      </w:r>
    </w:p>
    <w:p>
      <w:r>
        <w:t>IT: TF 6B_1043/2014 del 25 novembre 2014</w:t>
      </w:r>
    </w:p>
    <w:p>
      <w:pPr>
        <w:pStyle w:val="Heading2"/>
      </w:pPr>
      <w:r>
        <w:t>Erwägungen</w:t>
      </w:r>
    </w:p>
    <w:p>
      <w:r>
        <w:rPr>
          <w:b/>
        </w:rPr>
        <w:t>E. 1</w:t>
      </w:r>
    </w:p>
    <w:p>
      <w:r>
        <w:t>Das Obergericht des Kantons Aargau trat am 16. September 2014 auf eine Beschwerde nicht ein, weil sie nur elektronisch übermittelt worden war, das angekündigte Original jedoch nicht einging. Die Beschwerdeführerin wendet sich ans Bundesgericht, ohne einen ausdrücklichen Antrag zu stellen.</w:t>
      </w:r>
    </w:p>
    <w:p>
      <w:r>
        <w:rPr>
          <w:b/>
        </w:rPr>
        <w:t>E. 2</w:t>
      </w:r>
    </w:p>
    <w:p>
      <w:r>
        <w:t>Die Beschwerdeführerin verlangt sinngemäss den Ausstand von "SVP orientierten Richtern" (Beschwerde S. 3 Ziff. IV). Ausschliesslich an die Parteizugehörigkeit anknüpfende Ausstandsgesuche, die - wie hier - keine Gründe nennen, weshalb die betreffenden Richter in einem konkreten Fall befangen sein sollten, sind unzulässig (Urteil 1B_98/2012 vom 28. Februar 2012 mit Hinweisen). Bei unzulässigen Ausstandsgesuchen ist kein Verfahren nach Art. 37 BGG durchzuführen. Auf das Gesuch ist vielmehr nicht einzutreten.</w:t>
      </w:r>
    </w:p>
    <w:p>
      <w:r>
        <w:rPr>
          <w:b/>
        </w:rPr>
        <w:t>E. 3</w:t>
      </w:r>
    </w:p>
    <w:p>
      <w:r>
        <w:t>Gegenstand des vorliegenden Verfahrens können nur die Formvorschriften einer Beschwerde sein. Damit befasst sich die Beschwerdeführerin nicht. Die Ausführungen zur Sache sind unzulässig. Auf die Beschwerde ist mangels einer tauglichen Begründung gemäss Art. 42 Abs. 2 BGG im Verfahren nach Art. 108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