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6B_1042/2020 vom 1. Dezember 2021</w:t>
      </w:r>
    </w:p>
    <w:p>
      <w:r>
        <w:t>Bundesgericht, 2021-12-01, FR</w:t>
      </w:r>
    </w:p>
    <w:p>
      <w:r>
        <w:rPr>
          <w:b/>
        </w:rPr>
        <w:t xml:space="preserve">Quelle: </w:t>
      </w:r>
      <w:r>
        <w:t>https://mcp.opencaselaw.ch/entscheid/bger_6B_1042_2020</w:t>
      </w:r>
    </w:p>
    <w:p>
      <w:r>
        <w:t>FR: TF 6B_1042/2020 du 1 décembre 2021</w:t>
      </w:r>
    </w:p>
    <w:p>
      <w:r>
        <w:t>IT: TF 6B_1042/2020 del 1 dicembre 2021</w:t>
      </w:r>
    </w:p>
    <w:p>
      <w:pPr>
        <w:pStyle w:val="Heading2"/>
      </w:pPr>
      <w:r>
        <w:t>Erwägungen</w:t>
      </w:r>
    </w:p>
    <w:p>
      <w:r>
        <w:rPr>
          <w:b/>
        </w:rPr>
        <w:t>E. 1</w:t>
      </w:r>
    </w:p>
    <w:p>
      <w:r>
        <w:t>Le recourant fait valoir que le jugement de première instance, prononcé par défaut le 11 décembre 2013, n'avait pas eu pour effet d'interrompre la prescription au sens de l' art. 97 al. 3 CP , dès lors qu'il n'avait pas été rendu dans le cadre d'une procédure contradictoire. Il en déduit qu'à la date de l'arrêt attaqué - soit au 22 juillet 2020 -, il n'était plus susceptible d'être condamné en raison des infractions commises en 2009, soit en particulier pour celles de dommages à la propriété, de contrainte, de violation de domicile et de dénonciation calomnieuse, qui se prescrivent par dix ans ( art. 97 al. 1 let . c CP), voire par sept ans ( art. 97 al. 1 let . d CP).</w:t>
      </w:r>
    </w:p>
    <w:p>
      <w:r>
        <w:rPr>
          <w:b/>
        </w:rPr>
        <w:t>E. 1.1</w:t>
      </w:r>
    </w:p>
    <w:p>
      <w:r>
        <w:t>Aux termes de l' art. 97 al. 3 CP , la prescription ne court plus si, avant son échéance, un jugement de première instance a été rendu.</w:t>
      </w:r>
    </w:p>
    <w:p>
      <w:r>
        <w:t>Un jugement par défaut au sens des art. 366 ss CPP n'est considéré comme un jugement de première instance au sens de l' art. 97 al. 3 CP qu'à la condition résolutoire qu'aucune demande de nouveau jugement ne soit déposée ultérieurement (cf. art. 368 CPP ) et que le jugement par défaut ne soit pas remplacé par un nouveau jugement (cf. art. 370 CPP ; ATF 146 IV 59 consid. 3.4; arrêt 6B_786/2020 du 11 janvier 2021 consid. 1.7, destiné à la publication).</w:t>
      </w:r>
    </w:p>
    <w:p>
      <w:r>
        <w:rPr>
          <w:b/>
        </w:rPr>
        <w:t>E. 1.2</w:t>
      </w:r>
    </w:p>
    <w:p>
      <w:r>
        <w:t>Une fois le jugement par défaut notifié, le condamné a la possibilité soit de demander un nouveau jugement, aux conditions de l' art. 368 CPP , soit de faire appel, soit de faire les deux ( art. 371 al. 1 CPP ; arrêts 6B_44/2020 du 16 septembre 2020 consid. 1.1.3; 6B_1277/2015 du 29 juillet 2016 consid. 3.3.1 et la référence citée). S'il opte exclusivement pour l'appel, il perd une instance; inversement, s'il choisit uniquement de demander un nouveau jugement, il court le risque que le tribunal n'entre pas en matière sur sa requête parce que les conditions d'un nouveau jugement ne sont pas remplies (Message du 21 décembre 2005 relatif à l'unification du droit de la procédure pénale, in FF 2006 p. 1287).</w:t>
      </w:r>
    </w:p>
    <w:p>
      <w:r>
        <w:rPr>
          <w:b/>
        </w:rPr>
        <w:t>E. 1.3</w:t>
      </w:r>
    </w:p>
    <w:p>
      <w:r>
        <w:t>S'il peut être déduit de l'arrêt attaqué que le recourant, alors déjà assisté d'un défenseur d'office, avait formé appel en temps utile contre le jugement par défaut du 11 décembre 2013, on cherche en vain toute mention d'une demande de nouveau jugement qui aurait été formée par le recourant et qui aurait donné lieu à un tel nouveau jugement. A tout le moins, ce dernier n'explique pas avoir été l'auteur d'une demande valablement déposée en ce sens, ni ne prétend que la cour cantonale a arbitrairement omis de prendre ce fait en considération.</w:t>
      </w:r>
    </w:p>
    <w:p>
      <w:r>
        <w:t>Aussi, il apparaît qu'en interjetant appel, sans pour le surplus demander, ni de surcroît obtenir le prononcé d'un nouveau jugement, le recourant ne saurait se prévaloir de la caducité du jugement du 11 décembre 2013, lequel, en application de l' art. 97 al. 3 CP , a donc valablement interrompu les délais de prescription des infractions pour lesquelles il avait été condamné.</w:t>
      </w:r>
    </w:p>
    <w:p>
      <w:r>
        <w:t>Le grief doit dès lors être rejeté dans la mesure de sa recevabilité.</w:t>
      </w:r>
    </w:p>
    <w:p>
      <w:r>
        <w:rPr>
          <w:b/>
        </w:rPr>
        <w:t>E. 2</w:t>
      </w:r>
    </w:p>
    <w:p>
      <w:r>
        <w:t>Le recourant conteste sa condamnation pour faux dans les titres et pour escroquerie à raison des événements impliquant l'intimée C.________ SA.</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147 IV 73 consid. 4.1.2 et les arrêts cités). Lorsque l'appréciation des preuves et la constatation des faits sont critiquées en référence à la présomption d'innocence ( art. 6 par. 2 CEDH , 32 al. 1 Cst. et 10 CPP), le principe "</w:t>
      </w:r>
    </w:p>
    <w:p>
      <w:r>
        <w:t>in dubio pro reo " n'a pas de portée plus large que l'interdiction de l'arbitraire ( ATF 146 IV 88 consid. 1.3.1; 145 IV 154 consid. 1.1; 143 IV 500 consid. 1.1).</w:t>
      </w:r>
    </w:p>
    <w:p>
      <w:r>
        <w:rPr>
          <w:b/>
        </w:rPr>
        <w:t>E. 2.2.1</w:t>
      </w:r>
    </w:p>
    <w:p>
      <w:r>
        <w:t>Selon l' art. 251 ch. 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Sont des titres tous les écrits destinés et propres à prouver un fait ayant une portée juridique et tous les signes destinés à prouver un tel fait ( art. 110 al. 4 CP ).</w:t>
      </w:r>
    </w:p>
    <w:p>
      <w:r>
        <w:rPr>
          <w:b/>
        </w:rPr>
        <w:t>E. 2.2.2</w:t>
      </w:r>
    </w:p>
    <w:p>
      <w:r>
        <w:t>L' art. 251 ch. 1 CP vise notamment le titre faux ou la falsification d'un titre, soit le faux matériel.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 ATF 146 IV 258 consid. 1.1; ATF 144 IV 13 consid. 2.2.2; arrêt 6B_613/2020 du 17 septembre 2020 consid. 1.1.1).</w:t>
      </w:r>
    </w:p>
    <w:p>
      <w:r>
        <w:rPr>
          <w:b/>
        </w:rPr>
        <w:t>E. 2.3</w:t>
      </w:r>
    </w:p>
    <w:p>
      <w:r>
        <w:t>Le recourant fait valoir que les documents remis à la compagnie d'assurance intimée (soit en l'occurrence la copie d'une facture de l'Hôpital central de l'Armée [HCA], à Alger, un rapport médical du Dr G.________ et une attestation de débit de la Banque H.________) ne constituaient pas des titres au sens de l' art. 110 ch. 4 CP , dès lors qu'il s'agissait de faux grossiers, aisément reconnaissables comme tels, et partant inaptes à prouver un quelconque lien entre leur auteur et leur contenu.</w:t>
      </w:r>
    </w:p>
    <w:p>
      <w:r>
        <w:rPr>
          <w:b/>
        </w:rPr>
        <w:t>E. 2.3.1</w:t>
      </w:r>
    </w:p>
    <w:p>
      <w:r>
        <w:t>Pour autant, le recourant ne conteste pas avoir personnellement rédigé les écrits en cause, qui étaient destinés à prouver la réalité d'une hospitalisation subie en Algérie dont il demandait le remboursement des frais à son assureur-maladie, ce qui conduit déjà en soi à faire revêtir à ces documents la qualité de titres.</w:t>
      </w:r>
    </w:p>
    <w:p>
      <w:r>
        <w:rPr>
          <w:b/>
        </w:rPr>
        <w:t>E. 2.3.2</w:t>
      </w:r>
    </w:p>
    <w:p>
      <w:r>
        <w:t>Le recourant perd par ailleurs de vue que l'infraction de faux dans les titres peut être réalisée même par une falsification maladroite, facilement reconnaissable (cf. ATF 137 IV 167 consid. 2.4 p. 171; arrêts 6B_613/2020 du 17 septembre 2020 consid. 1.1.2; 6B_273/2019 du 9 octobre 2019 consid. 1.3). Le faux matériel ne peut ainsi être exclu que lorsqu'il n'existe aucun danger de confusion quant à l'identité de son auteur réel (cf. arrêt 6B_613/2020 précité consid. 1.1.2).</w:t>
      </w:r>
    </w:p>
    <w:p>
      <w:r>
        <w:t>Or, tel n'est pas le cas en l'espèce. Les deux fautes d'orthographe dont le recourant se prévaut ("certificat médicale"; "Guai" au lieu de "Gué",</w:t>
      </w:r>
    </w:p>
    <w:p>
      <w:r>
        <w:t>Gué de Constantine étant une localité située à proximité d'Alger), et, d'une manière générale, le "standard de qualité discutable" des documents, tel que relevé par la cour cantonale, ne suffisent pas encore à eux seuls à rendre évidente leur falsification, étant observé que ceux-ci, munis d'en-têtes ou de logos, étaient supposés émaner d'auteurs résidant dans un État où l'usage de la langue française, certes répandu, ne relève pas d'une reconnaissance officielle. La cour cantonale pouvait en outre sans arbitraire considérer que les erreurs et autres imprécisions étaient susceptibles de s'expliquer par une transcription lacunaire de propos initialement rédigés en arabe, sans que cela soit insolite, celles-là ayant du reste été d'autant moins aisément perceptibles par la société d'assurances intimée, opérant depuis Winterthour (ZH), que la plupart de ses collaborateurs étaient vraisemblablement de langue maternelle allemande (cf. arrêt attaqué, consid. 4.2 p. 26).</w:t>
      </w:r>
    </w:p>
    <w:p>
      <w:r>
        <w:t>La cour cantonale n'a donc pas violé le droit fédéral en condamnant le recourant pour faux dans les titres en raison de ces faits.</w:t>
      </w:r>
    </w:p>
    <w:p>
      <w:r>
        <w:rPr>
          <w:b/>
        </w:rPr>
        <w:t>E. 2.4.1</w:t>
      </w:r>
    </w:p>
    <w:p>
      <w:r>
        <w:t>Aux termes de l' art. 146 al. 1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L'escroquerie consiste à tromper la dupe. 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135 IV 76 consid. 5.2).</w:t>
      </w:r>
    </w:p>
    <w:p>
      <w:r>
        <w:t>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(arrêts 6B_1221/2020 du 2 juin 2021 consid. 1.1.2; 6B_488/2020 du 3 septembre 2020 consid. 1.1; 6B_346/2020 du 21 juillet 2020 consid. 1.2).</w:t>
      </w:r>
    </w:p>
    <w:p>
      <w:r>
        <w:rPr>
          <w:b/>
        </w:rPr>
        <w:t>E. 2.4.2</w:t>
      </w:r>
    </w:p>
    <w:p>
      <w:r>
        <w:t>Le recourant conteste le caractère astucieux de la tromperie.</w:t>
      </w:r>
    </w:p>
    <w:p>
      <w:r>
        <w:t>Son argumentation est toutefois sans objet dans la mesure où elle repose sur la prémisse selon laquelle les documents produits à l'intimée C.________ SA auraient constitué des faux grossiers (cf. consid. 2.3.2</w:t>
      </w:r>
    </w:p>
    <w:p>
      <w:r>
        <w:t>supra ).</w:t>
      </w:r>
    </w:p>
    <w:p>
      <w:r>
        <w:t>En outre, selon la jurisprudence du Tribunal fédéral, l'utilisation d'un titre falsifié doit en principe conduire à admettre l'existence d'une tromperie astucieuse (cf. ATF 128 IV 18 consid. 3a et les références citées; arrêts 6B_613/2020 du 17 septembre 2020 consid. 1.3; 6B_383/2019 du 8 novembre 2019 consid. 6.5.5.3).</w:t>
      </w:r>
    </w:p>
    <w:p>
      <w:r>
        <w:t>En l'occurrence, le recourant avait initialement transmis à l'intimée une fausse facture du HCA, accompagné d'un ordre de paiement de la Banque H.________ d'un montant correspondant à celui dû. L'intimée ne s'était toutefois pas contentée de ces pièces, mais avait demandé au recourant de lui transmettre les éléments permettant d'établir qu'il disposait alors de la somme nécessaire au règlement de la facture ainsi que le débit. Sur ce, le recourant avait remis à l'assurance de nouvelles pièces forgées pour les besoins de sa demande, répondant aux interrogations de l'intimée et lui permettant d'obtenir le paiement des montants requis (cf. arrêt attaqué, consid. 4.2 p. 26). Il apparaît dès lors que ce sont bien les faux documents produits successivement par le recourant qui lui ont d'abord permis d'induire l'intimée en erreur, puis de la conforter dans celle-ci.</w:t>
      </w:r>
    </w:p>
    <w:p>
      <w:r>
        <w:rPr>
          <w:b/>
        </w:rPr>
        <w:t>E. 2.4.3</w:t>
      </w:r>
    </w:p>
    <w:p>
      <w:r>
        <w:t>Certes, ce n'était que dans un second temps, soit après le paiement au recourant des montants sollicités, que l'intimée avait effectué des vérifications sur le bien-fondé de la demande de prestations, ayant à cet égard fait appel aux services de la société d'assurances I.________ AG, spécialisée dans l'assistance médicale aux voyageurs, ce qui lui avait finalement permis de constater que le recourant n'avait pas été hospitalisé en Algérie comme il le prétendait.</w:t>
      </w:r>
    </w:p>
    <w:p>
      <w:r>
        <w:t>En tant que le recourant reproche à la cour cantonale de ne pas avoir tenu compte de cet élément, qui traduirait une grande légèreté de l'intimée, laquelle accepterait de procéder à des remboursements de prestations avant d'entreprendre des vérifications, on ne voit pas pour autant que celle-là a versé dans l'arbitraire en considérant, sur la base des déclarations de la représentante de l'intimée, que l'intervention de I.________ AG s'inscrivait dans un "processus routinier de contrôle" et non, comme le soutenait le recourant, en raison d'une "méfiance particulière" à son égard. Il fallait aussi tenir compte dans ce contexte que le versement des montants était survenu alors que le recourant était représenté, dans ses démarches, par son assurance de protection juridique, ce qui était de nature à mettre l'intimée en confiance (cf. arrêt attaqué, consid. 4.2 p. 27).</w:t>
      </w:r>
    </w:p>
    <w:p>
      <w:r>
        <w:t>Pour le reste, la cour cantonale pouvait valablement considérer que les pièces remises par le recourant présentaient un sérieux certain et que leur fausseté n'était pas aisément décelable dans les circonstances d'espèce, en particulier eu égard à sa provenance alléguée. La tromperie doit à cet égard être qualifiée d'astucieuse.</w:t>
      </w:r>
    </w:p>
    <w:p>
      <w:r>
        <w:rPr>
          <w:b/>
        </w:rPr>
        <w:t>E. 2.4.4</w:t>
      </w:r>
    </w:p>
    <w:p>
      <w:r>
        <w:t>Au vu de ce qui précède, l'autorité précédente pouvait donc, sans violer le droit fédéral, condamner le recourant pour escroquerie s'agissant des événements en question.</w:t>
      </w:r>
    </w:p>
    <w:p>
      <w:r>
        <w:rPr>
          <w:b/>
        </w:rPr>
        <w:t>E. 2.5</w:t>
      </w:r>
    </w:p>
    <w:p>
      <w:r>
        <w:t>A titre subsidiaire, le recourant soutient qu'il aurait dû uniquement être condamné pour escroquerie à raison de ces faits, un concours d'infractions étant, selon lui, exclu.</w:t>
      </w:r>
    </w:p>
    <w:p>
      <w:r>
        <w:rPr>
          <w:b/>
        </w:rPr>
        <w:t>E. 2.5.1</w:t>
      </w:r>
    </w:p>
    <w:p>
      <w:r>
        <w:t>Comme le Tribunal fédéral a eu l'occasion de le rappeler encore récemment (cf. arrêts 6B_613/2020 du 17 septembre 2020 consid. 1.3; 6B_1086/2019 du 6 mai 2020 consid. 7.12), il y a - selon sa jurisprudence et la doctrine dominante - concours parfait entre l'escroquerie et le faux dans les titres lorsque l'auteur utilise un faux pour commettre une escroquerie, puisque les biens juridiquement protégés sont différents. En effet, l' art. 146 CP protège le patrimoine, alors que l' art. 251 CP protège la confiance placée dans la validité des pièces (cf. ATF 138 IV 209 consid. 5.5; 129 IV 53 consid. 3). Cela vaut même si le faux dans les titres n'a été commis que dans le but de réaliser l'escroquerie (cf. ATF 138 IV 209 consid. 5.5; arrêt 6B_772/2011 du 26 mars 2012 consid. 1.3 et la référence citée).</w:t>
      </w:r>
    </w:p>
    <w:p>
      <w:r>
        <w:rPr>
          <w:b/>
        </w:rPr>
        <w:t>E. 2.5.2</w:t>
      </w:r>
    </w:p>
    <w:p>
      <w:r>
        <w:t>Le recourant se borne à affirmer qu'il conviendrait de renverser cette jurisprudence, tout en mentionnant, à l'appui de son argumentation, l'avis d'un auteur soutenant une telle position (cf. en l'occurrence DANIEL KINZER, in Commentaire romand, Code pénal II, 2017, n° 144 ad art. 251 CP ).</w:t>
      </w:r>
    </w:p>
    <w:p>
      <w:r>
        <w:t>Il n'y a toutefois pas lieu de s'écarter des principes évoqués ci-dessus, en dépit d'avis doctrinaux divergents (cf. sur ce point précis, l'arrêt 6B_1086/2019 précité consid. 7.12). En particulier, en indiquant, à la suite de l'auteur cité, que "retenir l'usage de faux en concours réel revient à punir un même comportement blâmable deux fois", le recourant énonce précisément le principe du concours (parfait) d'infractions, dont on voit mal en quoi il pourrait contrevenir au droit fédéral (cf. arrêt 6B_613/2020 précité consid. 1.3).</w:t>
      </w:r>
    </w:p>
    <w:p>
      <w:r>
        <w:rPr>
          <w:b/>
        </w:rPr>
        <w:t>E. 3</w:t>
      </w:r>
    </w:p>
    <w:p>
      <w:r>
        <w:t>Le recourant conteste sa condamnation pour vol et violation de domicile en lien avec les événements impliquant D.________ et E.________.</w:t>
      </w:r>
    </w:p>
    <w:p>
      <w:r>
        <w:t>Par ses brefs développements, il se limite cependant à remettre en cause la crédibilité des déclarations des précitées, ceci dans une démarche appellatoire et partant irrecevable dans le recours en matière pénale. Au demeurant, en tant que le recourant se prévaut exclusivement de la similitude, selon lui étonnante, des déclarations des deux plaignantes quant à la valeur des objets volés dans l'appartement sous-loué (portant toutes deux sur des montants de l'ordre de 9'000 à 10'000 fr.), ainsi que de l'absence de quittances produites en lien avec ces objets (soit notamment un téléviseur, un téléphone portable et des bijoux), de telles circonstances ne sont nullement propres à exclure son implication dans la disparition des biens, dont on comprend qu'elle est déduite des déclarations constantes des intéressées à ce sujet ainsi que de rapports de police établis ensuite d'interventions sur les lieux (cf. arrêt attaqué, ad "En fait", let. B.b p. 6 ss).</w:t>
      </w:r>
    </w:p>
    <w:p>
      <w:r>
        <w:rPr>
          <w:b/>
        </w:rPr>
        <w:t>E. 4</w:t>
      </w:r>
    </w:p>
    <w:p>
      <w:r>
        <w:t>Le recourant conteste à plusieurs égards la peine qui lui a été infligée.</w:t>
      </w:r>
    </w:p>
    <w:p>
      <w:r>
        <w:rPr>
          <w:b/>
        </w:rPr>
        <w:t>E. 4.1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 et les références citées).</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136 IV 55 consid. 5.6).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136 IV 55 consid. 5.6).</w:t>
      </w:r>
    </w:p>
    <w:p>
      <w:r>
        <w:rPr>
          <w:b/>
        </w:rPr>
        <w:t>E. 4.2</w:t>
      </w:r>
    </w:p>
    <w:p>
      <w:r>
        <w:t>En l'espèce, la cour cantonale a pris en considération, s'agissant des actes commis au préjudice de C.________ SA, que le recourant avait persévéré durant plusieurs mois dans son projet délictuel forgeant et utilisant successivement divers faux documents pour atteindre son but et obtenir au final une somme importante de l'intimée. Dans ce contexte, une fois les faits découverts, sa collaboration avait été exécrable et il n'avait jamais admis ceux-ci, ne faisant preuve d'aucune prise de conscience. Le recourant avait de surcroît encore commis plusieurs autres infractions, soit contre le patrimoine, la liberté personnelle ainsi que l'honneur, au détriment de différentes personnes et sur une longue période. Il n'avait pas hésité à porter des accusations contre ceux-là mêmes qui se plaignaient de ses agissements et contre la police, ce qui témoignait d'une indifférence totale par rapport à ses actes et à leurs conséquences pour les tiers.</w:t>
      </w:r>
    </w:p>
    <w:p>
      <w:r>
        <w:t>La situation personnelle du recourant était relativement bonne. Il bénéficiait d'un revenu régulier (rente AI), sans charge de famille. Certes, son trouble de la personnalité devait être pris en compte et allégeait quelque peu sa faute globale. Sa responsabilité demeurait cependant entière.</w:t>
      </w:r>
    </w:p>
    <w:p>
      <w:r>
        <w:t>Au regard des éléments relevés ci-dessus, seule une peine privative de liberté entrait en ligne de compte. Celle-ci devait être fixée à 6 mois, à tout le moins, s'agissant de l'escroquerie, et aggravée de 3 mois en raison des faux confectionnés. Les différentes autres infractions alourdissaient encore la peine à prononcer, la portant au-delà de 12 mois, sans qu'il y eût matière à déterminer précisément dans quelle mesure, dès lors que l'interdiction de la</w:t>
      </w:r>
    </w:p>
    <w:p>
      <w:r>
        <w:t>reformatio in pejus empêchait toute aggravation de la peine au-delà de celle de 8 mois, avec sursis de 5 ans, prononcée en première instance (cf. arrêt attaqué, consid. 7.2.1 p. 35 s.).</w:t>
      </w:r>
    </w:p>
    <w:p>
      <w:r>
        <w:rPr>
          <w:b/>
        </w:rPr>
        <w:t>E. 4.3</w:t>
      </w:r>
    </w:p>
    <w:p>
      <w:r>
        <w:t>Le recourant soutient qu'il y a lieu de renoncer au prononcé de toute peine en raison d'une violation du principe de célérité.</w:t>
      </w:r>
    </w:p>
    <w:p>
      <w:r>
        <w:rPr>
          <w:b/>
        </w:rPr>
        <w:t>E. 4.3.1</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cf. ATF 130 I 312 consid. 5.1). La violation du principe de la célérité peut avoir pour conséquence la diminution de la peine, parfois l'exemption de toute peine ou encore une ordonnance de classement en tant qu'</w:t>
      </w:r>
    </w:p>
    <w:p>
      <w:r>
        <w:t>ultima ratio dans les cas les plus extrêmes ( ATF 143 IV 373 consid. 1.4.1; 135 IV 12 consid. 3.6; arrêts 6B_1476/2020 du 28 octobre 2021 consid. 2.1, destiné à la publication; 6B_1086/2019 du 6 mai 2020 consid. 7.3.1).</w:t>
      </w:r>
    </w:p>
    <w:p>
      <w:r>
        <w:t>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 ATF 143 IV 373 consid. 1.4.1 p. 377 s.; 117 IV 124 consid. 4e p. 129 s.; arrêt 6B_170/2020 précité consid. 1.1 et les arrêts cités). Le Tribunal fédéral n'intervient en raison d'une violation du principe de la célérité dans la fixation de la sanction que si la cour cantonale a excédé ou abusé de son pouvoir d'appréciation et, partant, violé le droit fédéral ( ATF 143 IV 373 consid. 1.4.1 p. 378 et l'arrêt cité; arrêt 6B_1083/2020 du 31 mars 2021 consid. 3.1).</w:t>
      </w:r>
    </w:p>
    <w:p>
      <w:r>
        <w:rPr>
          <w:b/>
        </w:rPr>
        <w:t>E. 4.3.2</w:t>
      </w:r>
    </w:p>
    <w:p>
      <w:r>
        <w:t>En l'occurrence, il est donné acte au recourant que la procédure d'appel a été particulièrement longue, dès lors qu'il l'avait initiée en février 2014 et qu'elle n'avait abouti que le 22 juillet 2020, date de l'arrêt attaqué.</w:t>
      </w:r>
    </w:p>
    <w:p>
      <w:r>
        <w:t>Pour autant, alors que l'arrêt attaqué n'aborde pas la question d'une éventuelle violation du principe de la célérité à cet égard, le recourant n'explique nullement, en contravention à l' art. 42 al. 2 LTF , dans quelle mesure la violation alléguée était imputable à des manquements des autorités pénales, pas plus qu'il ne prétend d'ailleurs que la longue durée de la procédure avait eu un quelconque impact sur sa vie privée ou professionnelle. Le grief est dans cette mesure irrecevable.</w:t>
      </w:r>
    </w:p>
    <w:p>
      <w:r>
        <w:rPr>
          <w:b/>
        </w:rPr>
        <w:t>E. 4.3.3</w:t>
      </w:r>
    </w:p>
    <w:p>
      <w:r>
        <w:t>Cela étant, il apparaît au vu du dossier cantonal que la longueur de la procédure s'explique dans une très large mesure, si ce n'est exclusivement, par le comportement adopté par le recourant, qui paraît n'avoir eu de cesse d'entreprendre des démarches dilatoires afin de retarder les opérations d'instruction et de reporter le jugement de la cause.</w:t>
      </w:r>
    </w:p>
    <w:p>
      <w:r>
        <w:t>Il est d'abord observé qu'en parallèle à sa déclaration d'appel, le recourant s'était fait passer pour mort, se prévalant, par le biais d'un dénommé K.________, de certificats de décès supposés avoir été établis en Syrie. Par la suite, une fois la supercherie découverte, il ne s'était pas présenté aux audiences d'appel assignées en juin et octobre 2016, se prévalant de divers certificats médicaux, ce qui avait conduit, en décembre 2016, la cour cantonale à renvoyer le dossier au ministère public pour qu'il mette en oeuvre, le cas échéant, une expertise psychiatrique. Après qu'une telle expertise avait été ordonnée en septembre 2017, le recourant ne s'était pas présenté aux entretiens prévus avec l'expert, refusant en outre de délier ses médecins traitants du secret médical et prétendant notamment de manière douteuse, en novembre 2017, avoir été hospitalisé en Syrie pour une durée indéterminée. Le 21 juin 2019, alors que le recourant avait été arrêté, le ministère public avait demandé, et obtenu du Tribunal des mesures de contrainte, sa mise en détention provisoire pour une durée d'un mois, qui a apparemment été prolongée par la suite en raison d'un risque de collusion en lien avec une autre procédure pénale dirigée contre le recourant, portant des faits commis ultérieurement à ceux d'espèce (cf. arrêt 1B_200/2020 du 16 juin 2020, concernant le recourant). Le rapport d'expertise sollicité avait finalement pu être établi le 27 avril 2020.</w:t>
      </w:r>
    </w:p>
    <w:p>
      <w:r>
        <w:t>Ainsi, compte tenu du comportement du recourant durant la procédure, et en l'absence de retards clairement imputables aux autorités de poursuite ou de jugement, il n'apparaît pas qu'il y avait matière au constat d'une violation du principe de la célérité, ni de surcroît, à ce titre, à une diminution de la peine prononcée.</w:t>
      </w:r>
    </w:p>
    <w:p>
      <w:r>
        <w:rPr>
          <w:b/>
        </w:rPr>
        <w:t>E. 4.4</w:t>
      </w:r>
    </w:p>
    <w:p>
      <w:r>
        <w:t>Le recourant soutient qu'au regard du temps écoulé depuis la commission des infractions, il devait être mis au bénéfice de la circonstance atténuante décrite à l' art. 48 let . e CP.</w:t>
      </w:r>
    </w:p>
    <w:p>
      <w:r>
        <w:rPr>
          <w:b/>
        </w:rPr>
        <w:t>E. 4.4.1</w:t>
      </w:r>
    </w:p>
    <w:p>
      <w:r>
        <w:t>Aux termes de l' art. 48 let . e CP, le juge atténue la peine si l'intérêt à punir a sensiblement diminué en raison du temps écoulé depuis l'infraction et que l'auteur s'est bien comporté dans l'intervalle.</w:t>
      </w:r>
    </w:p>
    <w:p>
      <w:r>
        <w:t>La disposition en cause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 ATF 140 IV 145 consid. 3.1; 132 IV 1 consid. 6.1 et 6.2). Pour déterminer si l'action pénale est proche de la prescription, le juge doit se référer à la date à laquelle les faits ont été souverainement établis, et non au jugement de première instance (moment où cesse de courir la prescription selon l' art. 97 al. 3 CP ). Ainsi, lorsque le condamné a fait appel, il faut prendre en considération le moment où le jugement de seconde instance a été rendu dès lors que ce recours a un effet dévolutif (cf. art. 398 al. 2 CPP ; ATF 140 IV 145 consid. 3.1; cf. arrêts 6B_29/2021 du 30 septembre 2021 consid. 1.2; 6B_260/2020 du 2 juillet 2020 consid. 2.3.3).</w:t>
      </w:r>
    </w:p>
    <w:p>
      <w:r>
        <w:rPr>
          <w:b/>
        </w:rPr>
        <w:t>E. 4.4.2</w:t>
      </w:r>
    </w:p>
    <w:p>
      <w:r>
        <w:t>Certes, il apparaît que, pour les infractions en cause, commises entre 2009 et 2010, les deux tiers du délai de prescription pourraient déjà avoir été atteints à la date de l'arrêt attaqué (22 juillet 2020).</w:t>
      </w:r>
    </w:p>
    <w:p>
      <w:r>
        <w:t>Néanmoins, on comprend du raisonnement de la cour cantonale, notamment de la mention de la "collaboration exécrable" du recourant à la procédure, qu'il ne se justifiait pas de faire application de l' art. 48 let . e CP, faute pour le recourant de s'être bien comporté depuis la commission des infractions. Une telle appréciation n'a rien d'arbitraire en l'occurrence, compte tenu du comportement manifestement dilatoire adopté par le recourant, en particulier durant la procédure d'appel (cf. consid. 4.3.3</w:t>
      </w:r>
    </w:p>
    <w:p>
      <w:r>
        <w:t>supra ), et de l'absence de toute prise de conscience, alors que, par ailleurs, il était fortement soupçonné, dans le cadre d'une autre procédure pénale, d'avoir réitéré son comportement délictuel à de nombreuses reprises après 2010, s'agissant en particulier de la confection de faux en vue d'obtenir des prestations d'assurance (cf. arrêt 1B_200/2020 précité ad "Faits" let. A et consid. 2.2).</w:t>
      </w:r>
    </w:p>
    <w:p>
      <w:r>
        <w:rPr>
          <w:b/>
        </w:rPr>
        <w:t>E. 4.4.3</w:t>
      </w:r>
    </w:p>
    <w:p>
      <w:r>
        <w:t>Pour le surplus, en tant que le recourant se prévaut d'une violation de l' art. 47 CP , il ne prétend pas que la cour cantonale aurait fondé son appréciation sur des critères qui n'étaient pas pertinents. Il n'invoque en outre aucun autre élément propre à modifier la peine, qui aurait été omis ou pris en considération à tort par la cour cantonale.</w:t>
      </w:r>
    </w:p>
    <w:p>
      <w:r>
        <w:rPr>
          <w:b/>
        </w:rPr>
        <w:t>E. 4.4.4</w:t>
      </w:r>
    </w:p>
    <w:p>
      <w:r>
        <w:t>Le recourant ne critique pas non plus la manière dont la cour cantonale a fait application de l' art. 49 al. 1 CP s'agissant du concours d'infractions constaté en l'espèce.</w:t>
      </w:r>
    </w:p>
    <w:p>
      <w:r>
        <w:t>En tant qu'il se plaint en revanche d'une violation de l' art. 49 al. 2 CP , arguant que la peine de privation de liberté prononcée en l'espèce aurait dû être complémentaire à la peine pécuniaire de 90 jours-amende, à 20 fr., à laquelle il avait été condamné en 2011, le recourant perd de vue que la fixation d'une peine complémentaire au sens de cette disposition suppose que la peine à prononcer soit du même genre que celle qui l'a déjà été ( ATF 145 IV 1 consid. 1.3 p. 8; 142 IV 265 consid. 2.4.1 p. 268 s.). Or, tel n'a pas été le cas en l'occurrence, le recourant ne présentant par ailleurs aucune critique quant aux motifs ayant présidé au choix de la cour cantonale de réprimer les infractions commises par une peine privative de liberté.</w:t>
      </w:r>
    </w:p>
    <w:p>
      <w:r>
        <w:rPr>
          <w:b/>
        </w:rPr>
        <w:t>E. 4.5</w:t>
      </w:r>
    </w:p>
    <w:p>
      <w:r>
        <w:t>Les développements du recourant ne mettent ainsi en évidence aucune violation du droit fédéral dans la fixation de la peine.</w:t>
      </w:r>
    </w:p>
    <w:p>
      <w:r>
        <w:rPr>
          <w:b/>
        </w:rPr>
        <w:t>E. 5</w:t>
      </w:r>
    </w:p>
    <w:p>
      <w:r>
        <w:t>Sur le vu de ce qui précède, le recours doit être rejeté dans la mesure de sa recevabilité.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