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6B_1040/2015 vom 29. Juni 2016</w:t>
      </w:r>
    </w:p>
    <w:p>
      <w:r>
        <w:t>Bundesgericht, 2016-06-29, FR</w:t>
      </w:r>
    </w:p>
    <w:p>
      <w:r>
        <w:rPr>
          <w:b/>
        </w:rPr>
        <w:t xml:space="preserve">Quelle: </w:t>
      </w:r>
      <w:r>
        <w:t>https://mcp.opencaselaw.ch/entscheid/bger_6B_1040_2015</w:t>
      </w:r>
    </w:p>
    <w:p>
      <w:r>
        <w:t>FR: TF 6B_1040/2015 du 29 juin 2016</w:t>
      </w:r>
    </w:p>
    <w:p>
      <w:r>
        <w:t>IT: TF 6B_1040/2015 del 29 giugno 2016</w:t>
      </w:r>
    </w:p>
    <w:p>
      <w:pPr>
        <w:pStyle w:val="Heading2"/>
      </w:pPr>
      <w:r>
        <w:t>Erwägungen</w:t>
      </w:r>
    </w:p>
    <w:p>
      <w:r>
        <w:rPr>
          <w:b/>
        </w:rPr>
        <w:t>E. 1.1</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w:t>
      </w:r>
    </w:p>
    <w:p>
      <w:r>
        <w:rPr>
          <w:b/>
        </w:rPr>
        <w:t>E. 1.2</w:t>
      </w:r>
    </w:p>
    <w:p>
      <w:r>
        <w:t>Le recourant doit avoir un intérêt actuel et pratique au traitement de son recours ( ATF 136 I 274 consid. 1.3; 133 II 81 consid. 3). Selon la jurisprudence, lorsque la détention a pris fin, il n'y a en règle générale plus d'intérêt pratique et actuel à traiter un recours contre cette dernière ( ATF 125 I 394 consid. 4a p. 397).</w:t>
      </w:r>
    </w:p>
    <w:p>
      <w:r>
        <w:t>Toutefois, dans des circonstances particulières, il se justifie d'examiner le recours au fond malgré la libération du recourant ( ATF 136 I 274 consid. 1.3 p. 276). Il en va notamment ainsi lorsque le recourant invoque une violation de l' art. 5 CEDH ( ATF 137 I 296 consid. 4.3.3 p. 302) et requiert une indemnité pour détention illicite (arrêt 6B_617/2015 du 27 août 2015 consid. 2.3).</w:t>
      </w:r>
    </w:p>
    <w:p>
      <w:r>
        <w:rPr>
          <w:b/>
        </w:rPr>
        <w:t>E. 1.3</w:t>
      </w:r>
    </w:p>
    <w:p>
      <w:r>
        <w:t>Dans la mesure où le recourant reproche à la cour cantonale d'avoir dénié le caractère illicite de sa détention, il a donc un intérêt à l'annulation de l'arrêt attaqué.</w:t>
      </w:r>
    </w:p>
    <w:p>
      <w:r>
        <w:rPr>
          <w:b/>
        </w:rPr>
        <w:t>E. 2</w:t>
      </w:r>
    </w:p>
    <w:p>
      <w:r>
        <w:t>Dénonçant la violation de son droit d'être entendu et du principe d'égalité des armes, le recourant reproche à la cour cantonale d'avoir rejeté sa requête tendant à la production du dossier en lien avec son arrivée à B.________ en 2013.</w:t>
      </w:r>
    </w:p>
    <w:p>
      <w:r>
        <w:rPr>
          <w:b/>
        </w:rPr>
        <w:t>E. 2.1</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136 I 229 consid. 5.3 p. 236; 131 I 153 consid. 3 p. 157).</w:t>
      </w:r>
    </w:p>
    <w:p>
      <w:r>
        <w:rPr>
          <w:b/>
        </w:rPr>
        <w:t>E. 2.2</w:t>
      </w:r>
    </w:p>
    <w:p>
      <w:r>
        <w:t>En l'espèce, la cour cantonale a considéré que le dossier en question n'était pas pertinent, dès lors qu'il concernait l'arrivée du recourant à la Clinique B.________ en 2013 et que la décision du SAPEM avait été rendue en 2014 (arrêt attaqué p. 13 consid. 7). Le raisonnement de la cour cantonale n'est pas critiquable. En effet, la décision de placement en milieu fermé a été prise en raison du comportement du recourant et du risque de récidive qu'il présentait en 2014. Les circonstances existant en 2013 ne sont dès lors pas pertinentes. Le grief soulevé doit être rejeté. Par identité de motifs, le grief tiré de la violation de l'égalité des armes est également infondé.</w:t>
      </w:r>
    </w:p>
    <w:p>
      <w:r>
        <w:rPr>
          <w:b/>
        </w:rPr>
        <w:t>E. 3</w:t>
      </w:r>
    </w:p>
    <w:p>
      <w:r>
        <w:t>Le recourant reproche à la cour cantonale de ne pas avoir considéré que le SAPEM était incompétent pour ordonner son transfert dans un établissement fermé et que, partant, sa décision était nulle.</w:t>
      </w:r>
    </w:p>
    <w:p>
      <w:r>
        <w:rPr>
          <w:b/>
        </w:rPr>
        <w:t>E. 3.1.1</w:t>
      </w:r>
    </w:p>
    <w:p>
      <w:r>
        <w:t>La loi ne désigne pas l'autorité compétente pour ordonner le placement en milieu fermé selon l' art. 59 al. 3 CP . D'après la jurisprudence, le placement dans un établissement fermé conformément à l' art. 59 al. 3 CP est une modalité de l'exécution de la mesure, qui relève de la compétence de l'autorité d'exécution. Le Tribunal fédéral a considéré que les art. 19 al. 2 let. b et 82 al. 1 let. b CP n'impliquaient pas que le placement en milieu fermé doive être ordonné par un tribunal. Il a relevé qu'il serait toutefois souhaitable que le tribunal s'exprime dans les considérants de son jugement - mais non dans son dispositif - sur la nécessité d'exécuter la mesure en milieu fermé et recommande, de manière non contraignante, à l'autorité d'exécution de placer le condamné dans un établissement fermé s'il considère que les conditions de l' art. 59 al. 3 CP sont réalisées ( ATF 142 IV 1 consid. 2.5 p. 10 s.).</w:t>
      </w:r>
    </w:p>
    <w:p>
      <w:r>
        <w:rPr>
          <w:b/>
        </w:rPr>
        <w:t>E. 3.1.2</w:t>
      </w:r>
    </w:p>
    <w:p>
      <w:r>
        <w:t>Dans le canton de Genève, c'est le SAPEM qui dispose de la compétence générale pour prendre des décisions dans le cadre de l'exécution des mesures (cf. art. 5 al. 2 let . d de la loi d'application du code pénal suisse et d'autres lois fédérales en matière pénale [LaCP; RSGE E 4 10]; art. 11 al. 1 let . e du règlement sur l'exécution des peines privatives de liberté et des mesures concernant les adultes et les jeunes adultes [REPPL; RSGE E 4 55.05]). Le recourant soutient que la cour cantonale aurait interprété l' art. 5 al. 2 let . d LaCP de manière arbitraire; en l'absence de tout développement, ce grief est toutefois insuffisamment motivé ( art. 106 al. 2 LTF ) et donc irrecevable.</w:t>
      </w:r>
    </w:p>
    <w:p>
      <w:r>
        <w:rPr>
          <w:b/>
        </w:rPr>
        <w:t>E. 3.2</w:t>
      </w:r>
    </w:p>
    <w:p>
      <w:r>
        <w:t>En l'espèce, le SAPEM était donc bien l'autorité compétente pour ordonner le placement du recourant en milieu fermé. Il n'était à cet égard pas lié par le jugement de condamnation du Tribunal correctionnel. Les griefs soulevés par le recourant sont infondés.</w:t>
      </w:r>
    </w:p>
    <w:p>
      <w:r>
        <w:rPr>
          <w:b/>
        </w:rPr>
        <w:t>E. 4</w:t>
      </w:r>
    </w:p>
    <w:p>
      <w:r>
        <w:t>Le recourant reproche à la cour cantonale d'avoir écarté les griefs de nature formelle soulevés contre la décision du 24 juillet 2014 du SAPEM. En particulier, il se plaint que cette décision n'avait pas été notifiée par pli recommandé à son représentant légal, qu'elle n'indiquait pas les voies de recours et qu'aucun défenseur d'office ne lui avait été désigné. Selon le recourant, ces graves vices formels entraîneraient la nullité de la décision.</w:t>
      </w:r>
    </w:p>
    <w:p>
      <w:r>
        <w:t>La cour cantonale a écarté ces griefs en raison de l'effet guérisseur du recours. Elle a ainsi reconnu que la décision litigieuse avait été notifiée au recourant en violation des règles de la loi genevoise de procédure administrative, mais elle a considéré que, comme le recours avait été déclaré recevable, ces vices n'avaient causé aucun préjudice au recourant. De même, elle a écarté les griefs liés à l'absence de nomination d'un défenseur, puisque le recourant avait été assisté d'un avocat pour rédiger son recours.</w:t>
      </w:r>
    </w:p>
    <w:p>
      <w:r>
        <w:t>Dans son mémoire de recours, le recourant ne discute pas cette motivation. Il critique uniquement la décision du SAPEM, faisant valoir que celle-ci était affectée de vices formels. En l'absence de lien suffisant entre l'argumentation du recourant et l'arrêt attaqué, les griefs sont insuffisamment motivés et, partant, irrecevables (cf. ATF 134 II 244 consid. 2.1 p. 245 s.).</w:t>
      </w:r>
    </w:p>
    <w:p>
      <w:r>
        <w:rPr>
          <w:b/>
        </w:rPr>
        <w:t>E. 5</w:t>
      </w:r>
    </w:p>
    <w:p>
      <w:r>
        <w:t>Le recourant fait valoir que la cour cantonale aurait considéré à tort que les conditions de l' art. 59 al. 3 CP étaient réalisées et que la décision du SAPEM était fondée.</w:t>
      </w:r>
    </w:p>
    <w:p>
      <w:r>
        <w:rPr>
          <w:b/>
        </w:rPr>
        <w:t>E. 5.1</w:t>
      </w:r>
    </w:p>
    <w:p>
      <w:r>
        <w:t>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 art. 59 al. 3 2 e phrase CP).</w:t>
      </w:r>
    </w:p>
    <w:p>
      <w:r>
        <w:t>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(cf. arrêt 6B_708/2015 du 22 octobre 2015 consid. 3.3, non publié in ATF 142 IV 1 ; cf. sur le risque de fuite: arrêts 6B_1045/2013 du 14 avril 2014 consid. 2.1.1; 6B_384/2010 du 15 septembre 2010 consid. 2.1.2; 6B_629/2009 du 21 décembre 2009 consid. 1.2.2.2; cf. aussi ATF 134 IV 121 consid. 3.4.2 p. 130; arrêts 6B_1230/2014 du 20 avril 2015 consid. 2.3.1; 6B_81/2011 du 16 mai 2011 consid. 3.2).</w:t>
      </w:r>
    </w:p>
    <w:p>
      <w:r>
        <w:t>Le risque de fuite et de récidive doit être soigneusement examiné dans le cas particulier. L'appréciation du risque de fuite ne comporte aucune question psychiatrique (arrêts 6B_1028/2014 du 17 juillet 2015 consid. 3.5; 6B_664/2013 du 16 décembre 2013 consid. 2.4). Savoir si le risque est qualifié est une question juridique (cf. sur la dangerosité: cf. arrêts 6B_1028/2014 du 17 juillet 2015 consid. 3.5;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(cf. arrêt 6B_708/2015 du 22 octobre 2015 consid. 3.3, non publié in ATF 142 IV 1 ). Le juge ne peut s'écarter de l'appréciation d'une expertise que pour des motifs déterminants (cf. ATF 138 III 193 consid. 4.3.1 p. 198 s.; 129 I 49 consid. 4 p. 57 s.; 128 I 81 consid. 2 p. 86; arrêt 6B_1028/2014 du 17 juillet 2015 consid. 3.5).</w:t>
      </w:r>
    </w:p>
    <w:p>
      <w:r>
        <w:rPr>
          <w:b/>
        </w:rPr>
        <w:t>E. 5.2</w:t>
      </w:r>
    </w:p>
    <w:p>
      <w:r>
        <w:t>Selon l'arrêt cantonal, le recourant a fugué à de très nombreuses reprises. Les fugues étaient certes de courte durée, mais, vu la typologie des comportements à risque du recourant, il n'était pas nécessaire qu'il passe un temps important à l'extérieur de l'établissement pour passer à l'acte. En outre, le recourant ne respectait pas les règles de l'établissement. Il est vrai qu'en soi la violation de règles internes à l'établissement est insuffisante pour justifier le placement en milieu fermé. En l'espèce, le rappel des règles et les tentatives de les faire respecter s'étaient toutefois soldés par un comportement violent du recourant, au point de faire naître un sentiment d'insécurité chez le personnel soignant. En effet, le recourant a proféré des menaces de mort à l'égard de l'un d'eux, en sous-entendant se sentir légitimé à prendre la vie de celui-ci. Dans ces conditions, le placement en milieu fermé se justifiait tant par un risque de fuite qu'un risque de récidive. Les griefs soulevés par le recourant sont infondés.</w:t>
      </w:r>
    </w:p>
    <w:p>
      <w:r>
        <w:t>En outre, le recourant semble contester le fait d'avoir été incarcéré à C.________ et non dans un autre établissement fermé. Il ne détaille toutefois pas ce grief et ne prétend pas que les conditions de l'art. 59 al. 3 in fine CP n'auraient pas été respectées. Faute de motivation suffisante ( art. 42 al. 2 LTF ), ce grief est dès lors irrecevable.</w:t>
      </w:r>
    </w:p>
    <w:p>
      <w:r>
        <w:rPr>
          <w:b/>
        </w:rPr>
        <w:t>E. 6</w:t>
      </w:r>
    </w:p>
    <w:p>
      <w:r>
        <w:t>Le recourant se plaint de sa détention à C.________ du 31 octobre 2013 au 28 novembre 2013 qu'il qualifie de trop longue, ainsi que de celle du 25 juillet 2014 au 22 avril 2015.</w:t>
      </w:r>
    </w:p>
    <w:p>
      <w:r>
        <w:t>La cour cantonale a refusé d'entrer en matière sur les faits postérieurs à la décision attaquée (arrêt attaqué p. 12 consid. 6.3). Conformément au principe de l'épuisement des instances cantonales ( art. 80 al. 1 LTF ), le recourant ne peut donc attaquer que la question de la recevabilité. Il ne peut pas soulever des griefs sur le fond; ceux-ci sont irrecevables.</w:t>
      </w:r>
    </w:p>
    <w:p>
      <w:r>
        <w:t>Pour le surplus, la cour cantonale ne s'est pas prononcée sur la licéité de la détention du 31 octobre au 28 novembre 2013. Dans ce cas, le recourant devait faire valoir que la cour cantonale avait commis un déni de justice formel, ce qu'il ne fait pas. Faute d'épuisement des instances cantonales ( art. 80 al. 1 LTF ), les griefs formés par le recourant au sujet de la licéité de de sa détention sont irrecevables.</w:t>
      </w:r>
    </w:p>
    <w:p>
      <w:r>
        <w:rPr>
          <w:b/>
        </w:rPr>
        <w:t>E. 7</w:t>
      </w:r>
    </w:p>
    <w:p>
      <w:r>
        <w:t>Le recourant requiert qu'une enquête complète soit ordonnée pour établir l'ampleur exacte de la violation de ses droits et lui octroyer une juste réparation.</w:t>
      </w:r>
    </w:p>
    <w:p>
      <w:r>
        <w:t>Insuffisamment motivé ( art. 106 al. 2 LTF ), ce grief est irrecevable.</w:t>
      </w:r>
    </w:p>
    <w:p>
      <w:r>
        <w:rPr>
          <w:b/>
        </w:rPr>
        <w:t>E. 8</w:t>
      </w:r>
    </w:p>
    <w:p>
      <w:r>
        <w:t>Dans la mesure de sa recevabilité, 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