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103/2010 vom 22. März 2010</w:t>
      </w:r>
    </w:p>
    <w:p>
      <w:r>
        <w:t>Bundesgericht, 2010-03-22, FR</w:t>
      </w:r>
    </w:p>
    <w:p>
      <w:r>
        <w:rPr>
          <w:b/>
        </w:rPr>
        <w:t xml:space="preserve">Quelle: </w:t>
      </w:r>
      <w:r>
        <w:t>https://mcp.opencaselaw.ch/entscheid/bger_6B_103_2010</w:t>
      </w:r>
    </w:p>
    <w:p>
      <w:r>
        <w:t>FR: TF 6B 103/2010 du 22 mars 2010</w:t>
      </w:r>
    </w:p>
    <w:p>
      <w:r>
        <w:t>IT: TF 6B 103/2010 del 22 marzo 2010</w:t>
      </w:r>
    </w:p>
    <w:p>
      <w:pPr>
        <w:pStyle w:val="Heading2"/>
      </w:pPr>
      <w:r>
        <w:t>Regeste</w:t>
      </w:r>
    </w:p>
    <w:p>
      <w:r>
        <w:t>Fixation de la peine (vols, dommages à la propriété) | Droit pénal (en général)</w:t>
      </w:r>
    </w:p>
    <w:p>
      <w:pPr>
        <w:pStyle w:val="Heading2"/>
      </w:pPr>
      <w:r>
        <w:t>Erwägungen</w:t>
      </w:r>
    </w:p>
    <w:p>
      <w:r>
        <w:rPr>
          <w:b/>
        </w:rPr>
        <w:t>E. 1</w:t>
      </w:r>
    </w:p>
    <w:p>
      <w:r>
        <w:t>Invoquant une violation des art. 47 et 50 CP , le recourant se plaint de la peine infligée.</w:t>
      </w:r>
    </w:p>
    <w:p>
      <w:r>
        <w:rPr>
          <w:b/>
        </w:rPr>
        <w:t>E. 1.1</w:t>
      </w:r>
    </w:p>
    <w:p>
      <w:r>
        <w:t>La fixation de la peine est régie par l' art. 47 CP , qui correspond à l'art. 63 aCP et à la jurisprudence y relative qui garde donc sa valeur. Selon l' art. 50 CP , le juge doit motiver sa décision de manière suffisante. Sa motivation doit permettre de vérifier s'il a été tenu compte de tous les éléments pertinents et comment ils ont été appréciés (cf. ATF 134 IV 5 consid. 4.2.1; ATF 128 IV 193 consid. 3a). Le Tribunal fédéral peut intervenir, en considérant le droit fédéral comme violé, si la sanction a été fixée en dehors du cadre légal, si elle se base sur des critères juridiquement non déterminants, si elle ne prend pas en compte des points de vue essentiels ou si le juge s'est montré à ce point sévère ou clément que l'on doive parler d'un abus de son pouvoir d'appréciation ( ATF 129 IV 6 consid. 6.1 p. 21).</w:t>
      </w:r>
    </w:p>
    <w:p>
      <w:r>
        <w:rPr>
          <w:b/>
        </w:rPr>
        <w:t>E. 1.2</w:t>
      </w:r>
    </w:p>
    <w:p>
      <w:r>
        <w:t>Le recourant reproche à la Cour de justice de ne pas avoir pris en compte l'effet d'une peine privative de liberté de 24 mois sur son avenir et de ne pas avoir examiné sa culpabilité sous l'angle de la gravité de la lésion ou de la mise en danger du bien juridique concerné. Ce grief est vain. En effet, d'une part, les juges cantonaux ont décrit les divers cambriolages commis, soit les lieux visités et les objets soustraits, exposant ainsi les préjudices commis. D'autre part, ils ont relevé l'âge de l'intéressé ainsi que sa situation personnelle et professionnelle. Par ailleurs, l'exécution d'une peine ferme a nécessairement des répercussions sur le plan personnel. Une réduction de la sanction ne s'impose en référence avec les effets de la peine sur l'avenir du condamné que dans des cas particuliers ( ATF 134 IV 17 consid. 3.4 p. 24) et, en l'espèce, la faute du recourant justifie la peine infligée (cf. infra consid. 1.3.2).</w:t>
      </w:r>
    </w:p>
    <w:p>
      <w:r>
        <w:rPr>
          <w:b/>
        </w:rPr>
        <w:t>E. 1.3</w:t>
      </w:r>
    </w:p>
    <w:p>
      <w:r>
        <w:t>Le recourant reproche à la Cour de justice d'avoir admis qu'il avait agi de façon professionnelle, alors qu'il n'a jamais été inculpé pour vol par métier. Il estime que l'intensité délictuelle des actes commis ne correspond pas à celle dont l'autorité s'est prévalue pour le condamner à la peine privative de liberté de 24 mois.</w:t>
      </w:r>
    </w:p>
    <w:p>
      <w:r>
        <w:rPr>
          <w:b/>
        </w:rPr>
        <w:t>E. 1.3.1</w:t>
      </w:r>
    </w:p>
    <w:p>
      <w:r>
        <w:t>Certes, le recourant n'a pas été inculpé, ni condamné pour vol par métier. Reste qu'après être sorti de prison le 7 septembre 2007, il a commis neuf cambriolages entre le 21 octobre 2007 et le 28 avril 2009. Dès lors, l'autorité cantonale n'a pas violé le droit fédéral en admettant que l'intéressé avait agi avec une volonté délictuelle particulièrement intense, le juge devant par ailleurs évaluer la gravité de la faute en fonction de tous les éléments pertinents, notamment ceux qui ont trait à l'acte lui-même, à savoir entre autres l'intensité de la volonté délictuelle (cf. ATF 129 IV 6 consid. 6.1 p. 20; 127 IV 101 consid. 2a p. 103).</w:t>
      </w:r>
    </w:p>
    <w:p>
      <w:r>
        <w:rPr>
          <w:b/>
        </w:rPr>
        <w:t>E. 1.3.2</w:t>
      </w:r>
    </w:p>
    <w:p>
      <w:r>
        <w:t>En définitive, le recourant ne cite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En l'espèce, le recourant s'est rendu coupable de vols ( art. 139 ch. 1 CP ), de dommages à la propriété ( art. 144 al. 1 CP ) et de violation de domicile ( art. 186 CP ). Il a déjà été condamné le 10 août 2006 à une peine privative de liberté de 24 mois avec sursis à l'exécution de la peine de 12 mois pour vol par métier et en bande, dommage à la propriété, violation de domicile, vol d'usage, usurpation de plaques de contrôle ou de signes distinctifs pour cycles et délit contre la LSEE. A peine sorti de prison, il a immédiatement repris ses activités illicites. Il a agi à réitérées reprises, sur une période d'un an et demi, démontrant ainsi une volonté délictueuse particulièrement intense. Il a contesté jusque devant le Tribunal de police les infractions qui lui étaient reprochées malgré des preuves déterminantes, tel son profil ADN retrouvé dans un véhicule volé. Il a agi par appât du gain, alors qu'il dit recevoir une somme mensuelle non négligeable de 3'000 euros de la part de sa mère et que ses charges sont limitées dans la mesure où il ne s'acquitte, notamment, pas d'un loyer. Il est certes jeune, mais ne pouvait ignorer, après sa première condamnation, le caractère répréhensible de ses actes. Au vu de ces circonstances, la faute du recourant doit être qualifiée de lourde. En prononçant une peine privative de liberté de 24 mois, la Cour cantonale n'a donc pas abusé de son pouvoir d'appréciation. Mal fondé, le grief tiré de la violation de l' art. 47 CP doit être rejeté.</w:t>
      </w:r>
    </w:p>
    <w:p>
      <w:r>
        <w:rPr>
          <w:b/>
        </w:rPr>
        <w:t>E. 2</w:t>
      </w:r>
    </w:p>
    <w:p>
      <w:r>
        <w:t>Le recourant invoque une violation des art. 42 al. 2, 43 et 46 CP .</w:t>
      </w:r>
    </w:p>
    <w:p>
      <w:r>
        <w:rPr>
          <w:b/>
        </w:rPr>
        <w:t>E. 2.1.1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 ATF 134 IV 1 consid. 4.2.2 p. 5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 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 art. 42 al. 2 CP ). La présomption d'un pronostic favorable, respectivement du défaut d'un pronostic défavorable, ne s'applique plus. L'octroi du sursis n'entrera donc en considération que si, malgré l'infraction commise, on peut raisonnablement supposer, à l'issue de l'appréciation de l'ensemble des facteurs déterminants, que le condamné s'amendera ( ATF 134 IV 1 consid. 4.2.3 p. 6 s.). L' art. 43 al. 1 CP prévoit que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 art. 42 CP ), à savoir les perspectives d'amendement, valent également pour le sursis prévu à l' art. 43 CP . Un pronostic défavorable exclut le sursis partiel ( ATF 134 IV 1 consid. 5.3.1 p. 10).</w:t>
      </w:r>
    </w:p>
    <w:p>
      <w:r>
        <w:rPr>
          <w:b/>
        </w:rPr>
        <w:t>E. 2.1.2</w:t>
      </w:r>
    </w:p>
    <w:p>
      <w:r>
        <w:t>Selon l' art. 46 CP ,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 ATF 134 IV 140 consid. 4.5 p. 144).</w:t>
      </w:r>
    </w:p>
    <w:p>
      <w:r>
        <w:rPr>
          <w:b/>
        </w:rPr>
        <w:t>E. 2.2</w:t>
      </w:r>
    </w:p>
    <w:p>
      <w:r>
        <w:t>Le recourant se plaint tout d'abord que le sursis, même partiel, ne lui ait pas été accordé. En l'espèce, ce dernier a été condamné en 2007 à une peine privative de liberté de 24 mois, avec sursis partiel de 12 mois, de sorte que l' art. 42 al. 2 CP s'applique. Dès sa sortie de prison, il a récidivé, ce qui démontre qu'il n'a tiré aucun enseignement de sa précédente condamnation. Il a commis des infractions identiques à celles pour lesquelles il avait déjà été sanctionné précédemment. Sa situation personnelle et professionnelle ne s'est pas modifiée. Aucun indice ne permet de penser que le recourant s'amendera. L'exécution de la peine de douze mois, à la suite de la révocation du sursis accordé lors de sa condamnation, ne saurait améliorer le pronostic, son précédent passage en prison n'ayant d'ailleurs eu aucun effet choc ou d'avertissement (cf. ATF 116 IV 97 consid. 2b p. 99 s.). Dans ces circonstances, le pronostic défavorable posé par la Cour cantonale est fondé. Un tel pronostic exclut tant l'octroi d'un sursis complet que d'un sursis partiel. Mal fondés, les griefs tirés de la violation des art. 42 et 43 CP doivent être rejetés.</w:t>
      </w:r>
    </w:p>
    <w:p>
      <w:r>
        <w:rPr>
          <w:b/>
        </w:rPr>
        <w:t>E. 2.3</w:t>
      </w:r>
    </w:p>
    <w:p>
      <w:r>
        <w:t>Le recourant conteste ensuite la révocation du sursis dont il avait bénéficié en 2007. En l'espèce, les nouvelles infractions commises par l'intéressé immédiatement après sa libération attestent de l'absence de perspectives de succès de la mise à l'épreuve. De plus, il a récidivé alors qu'il venait de purger une peine privative de liberté, ce qui démontre que le prononcé d'une sanction ferme dans le cadre de la présente procédure n'est pas susceptible d'avoir un quelconque effet préventif en l'absence d'éléments permettant de penser qu'il pourrait en aller différemment cette fois-ci. Dans ces conditions et au vu du pronostic défavorable, la Cour de justice n'a pas violé l' art. 46 CP en révoquant le sursis accordé précédemment.</w:t>
      </w:r>
    </w:p>
    <w:p>
      <w:r>
        <w:rPr>
          <w:b/>
        </w:rPr>
        <w:t>E. 3</w:t>
      </w:r>
    </w:p>
    <w:p>
      <w:r>
        <w:t>En relation avec la peine infligée, le recourant invoque également l'arbitraire au sens de l' art. 9 Cst. et une violation de l' art. 50 CP . Ces griefs ne sont toutefois étayés par aucune argumentation distincte et se confondent avec les critiques analysées ci-dessus.</w:t>
      </w:r>
    </w:p>
    <w:p>
      <w:r>
        <w:rPr>
          <w:b/>
        </w:rPr>
        <w:t>E. 4</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 ( art. 65 al. 2 LTF ). Vu l'issue du présent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