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1035/2021 vom 16. Dezember 2021</w:t>
      </w:r>
    </w:p>
    <w:p>
      <w:r>
        <w:t>Bundesgericht, 2021-12-16, FR</w:t>
      </w:r>
    </w:p>
    <w:p>
      <w:r>
        <w:rPr>
          <w:b/>
        </w:rPr>
        <w:t xml:space="preserve">Quelle: </w:t>
      </w:r>
      <w:r>
        <w:t>https://mcp.opencaselaw.ch/entscheid/bger_6B_1035_2021</w:t>
      </w:r>
    </w:p>
    <w:p>
      <w:r>
        <w:t>FR: TF 6B 1035/2021 du 16 décembre 2021</w:t>
      </w:r>
    </w:p>
    <w:p>
      <w:r>
        <w:t>IT: TF 6B 1035/2021 del 16 dicembre 2021</w:t>
      </w:r>
    </w:p>
    <w:p>
      <w:pPr>
        <w:pStyle w:val="Heading2"/>
      </w:pPr>
      <w:r>
        <w:t>Regeste</w:t>
      </w:r>
    </w:p>
    <w:p>
      <w:r>
        <w:t>Fixation de la peine, expulsion; arbitraire | Droit pénal (en général)</w:t>
      </w:r>
    </w:p>
    <w:p>
      <w:pPr>
        <w:pStyle w:val="Heading2"/>
      </w:pPr>
      <w:r>
        <w:t>Erwägungen</w:t>
      </w:r>
    </w:p>
    <w:p>
      <w:r>
        <w:rPr>
          <w:b/>
        </w:rPr>
        <w:t>E. 1</w:t>
      </w:r>
    </w:p>
    <w:p>
      <w:r>
        <w:t>La recourante se plaint d'un établissement manifestement inexact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1.2</w:t>
      </w:r>
    </w:p>
    <w:p>
      <w:r>
        <w:t>La recourante reproche à la cour cantonale de ne pas avoir pris en compte les déclarations de sa curatrice faites au début de l'audience d'appel.</w:t>
      </w:r>
    </w:p>
    <w:p>
      <w:r>
        <w:rPr>
          <w:b/>
        </w:rPr>
        <w:t>E. 1.2.1</w:t>
      </w:r>
    </w:p>
    <w:p>
      <w:r>
        <w:t>Elle soutient que la cour cantonale aurait dû retenir, sur la base desdites déclarations, qu'elle n'était pas capable de gérer ses affaires seule, ni même de se souvenir d'un simple rendez-vous. Elle reproche également à la cour cantonale de ne pas avoir retenu qu'elle bénéficiait d'une aide personnalisée, et ce, à une fréquence élevée. Il convient tout d'abord de relever que la curatrice de la recourante n'a pas déclaré que celle-ci n'était pas capable de se souvenir d'un simple rendez-vous, mais qu'elle était accompagnée pour "gérer ses difficultés au quotidien, notamment ses rendez-vous" (cf. jugement attaqué, p. 4). Par ailleurs, la cour cantonale a exposé les différents suivis effectués par la recourante ainsi que le fait qu'elle était sous curatelle depuis 2011 et que ce mandat était assumé par E.________ depuis 2014, en tant que curatrice de gestion et de représentation. On comprend ainsi du jugement attaqué que la recourante bénéficie de diverses mesures d'encadrement (cf. jugement attaqué, p. 27). Pour le surplus, la recourante ne démontre pas en quoi le fait qu'elle serait accompagnée à domicile par la Fondation H.________ serait déterminant sur l'issue du litige. Le grief est rejeté dans la mesure où il est recevable.</w:t>
      </w:r>
    </w:p>
    <w:p>
      <w:r>
        <w:rPr>
          <w:b/>
        </w:rPr>
        <w:t>E. 1.2.2</w:t>
      </w:r>
    </w:p>
    <w:p>
      <w:r>
        <w:t>La recourante fait ensuite grief à la cour cantonale de ne pas avoir "repris" les déclarations de sa curatrice s'agissant des liens qu'elle entretient avec ses enfants, en particulier le fait qu'elle est très attachée à ceux-ci, qu'ils lui rendent visite, cela même depuis son incarcération. La cour cantonale n'a pas arbitrairement omis ces éléments. En effet, elle a retenu que la recourante avait conservé l'autorité parentale sur ses trois enfants et que les relations personnelles entre eux étaient maintenues, avec l'aide du DGEJ et d'autres intervenants. Il ressort clairement du jugement attaqué que l'intéressée avait un droit de visite hebdomadaire sur ses enfants jusqu'à son incarcération et qu'elle les voit régulièrement depuis lors, sa dernière fille lui étant amenée tous les 15 jours. Par ailleurs, la cour cantonale a retenu que "le besoin de relations avec ses enfants ne p[ouvait] évidemment pas être nié". Le grief de la recourante est donc rejeté dans la mesure où il est recevable</w:t>
      </w:r>
    </w:p>
    <w:p>
      <w:r>
        <w:rPr>
          <w:b/>
        </w:rPr>
        <w:t>E. 2</w:t>
      </w:r>
    </w:p>
    <w:p>
      <w:r>
        <w:t>La recourante se plaint d'une violation de l'art. 19 al. 2 cum art. 47 et 50 CP .</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w:t>
      </w:r>
    </w:p>
    <w:p>
      <w:r>
        <w:rPr>
          <w:b/>
        </w:rPr>
        <w:t>E. 2.2</w:t>
      </w:r>
    </w:p>
    <w:p>
      <w:r>
        <w:t>Selon l' art. 19 al. 2 CP ,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 6B_1403/2020 du 5 mai 2021 consid. 2.2 et les références citées).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arrêt 6B_1403/2020 précité consid. 2.2).</w:t>
      </w:r>
    </w:p>
    <w:p>
      <w:r>
        <w:rPr>
          <w:b/>
        </w:rPr>
        <w:t>E. 2.3</w:t>
      </w:r>
    </w:p>
    <w:p>
      <w:r>
        <w:t>La cour cantonale a considéré que la culpabilité de la recourante serait écrasante si elle était en pleine possession de ses facultés et passait à lourde en raison de la diminution de responsabilité. En effet, l'intéressée avait tenté de tuer son compagnon et père de ses enfants pour le faire taire, simplement parce qu'il s'étonnait de son agacement lorsqu'il lui avait proposé qu'il leur roule un joint. Elle a exposé que, même avec un QI de 41, on savait le danger de planter un couteau dans la gorge de quelqu'un, comme en témoignait notamment le repentir manifesté juste après les faits par la recourante. La cour cantonale a jugé qu'un meurtre consommé dans de telles circonstances mériterait une peine de l'ordre de huit ans (16 ans pour un prévenu entièrement responsable). Elle a ensuite estimé que le fait que l'acte en soit resté au stade de la tentative, notamment grâce au repentir actif ( art. 23 CP ) de la recourante, justifiait une réduction de moitié de la peine, soit une quotité de quatre ans. La cour cantonale a enfin tenu compte, à charge, des mauvais antécédents de la recourante, de sa vie dissolue, faite de consommation de substances illicites, et de son attitude globalement égoïste et agressive. Elle a relevé qu'il n'y avait pas de concours d'infractions. À décharge, elle a tenu compte des excuses de la recourante, de sa compliance au traitement psychiatrique et de son adhésion aux conclusions civiles, relevant que ce dernier geste était fort peu méritoire, dès lors qu'elle n'avait pas la perspective d'en payer personnellement le montant. La cour cantonale a jugé qu'en conséquence, les éléments à charge et à décharge se compensaient. C'était ainsi une peine privative de liberté ferme de quatre ans, respectivement de 48 mois, qui devait être prononcée à l'encontre de la recourante.</w:t>
      </w:r>
    </w:p>
    <w:p>
      <w:r>
        <w:rPr>
          <w:b/>
        </w:rPr>
        <w:t>E. 2.4</w:t>
      </w:r>
    </w:p>
    <w:p>
      <w:r>
        <w:t>La recourante soutient que c'est une "diminution de responsabilité de plus de la moitié" qui devait s'imposer à la cour cantonale et que, compte tenu de l'ensemble des circonstances particulières de l'espèce, les juges auraient dû qualifier la faute de moyenne et non lourde.</w:t>
      </w:r>
    </w:p>
    <w:p>
      <w:r>
        <w:rPr>
          <w:b/>
        </w:rPr>
        <w:t>E. 2.4.1</w:t>
      </w:r>
    </w:p>
    <w:p>
      <w:r>
        <w:t>Invoquant une violation de l' art. 50 CP , la recourante reproche à la cour cantonale de ne pas avoir pris en compte tous les facteurs qui ont amené les experts à retenir une responsabilité restreinte, soit son retard mental moyen, ses troubles mentaux et les comportements liés à l'utilisation abusive d'alcool et de cannabis, ainsi que le fait qu'au moment des faits, elle et son compagnon étaient fortement alcoolisés et sous l'effet de produits stupéfiants. Cette argumentation ne saurait être suivie. On comprend en effet de la motivation du jugement que la cour cantonale a retenu, en se fondant sur l'expertise, une responsabilité restreinte dans une mesure moyenne. Or, pour arriver à cette conclusion, les experts ont tenu compte de la conjonction de l'impulsivité due au retard mental, du bouleversement émotionnel et de l'abus de toxiques, lesquels étaient de nature à altérer la capacité volitive de la recourante. Ils ont considéré que sa capacité à apprécier le caractère illicite de ses actes était préservée. Ainsi, en raison de cette responsabilité restreinte, la cour cantonale a considéré que la culpabilité passait d'écrasante à lourde et que la peine était réduite de moitié. Il s'ensuit que les facteurs mentionnés par la recourante ont bien été pris en considération par la cour cantonale. Le grief est rejeté dans la mesure où il est recevable.</w:t>
      </w:r>
    </w:p>
    <w:p>
      <w:r>
        <w:rPr>
          <w:b/>
        </w:rPr>
        <w:t>E. 2.4.2</w:t>
      </w:r>
    </w:p>
    <w:p>
      <w:r>
        <w:t>C'est également en vain que la recourante reproche à la cour cantonale d'avoir violé l' art. 19 al. 2 CP et la jurisprudence y relative. En effet, il ressort du jugement attaqué que la cour cantonale a retenu que la faute (objective) de la recourante était très grave ("écrasante"), celle-ci ayant tenté de tuer son compagnon et père de ses enfants simplement pour le faire taire parce qu'il s'étonnait de son agacement lorsqu'il lui avait proposé qu'il leur roule un joint. On comprend que la cour cantonale a ensuite tenu compte, à décharge de la recourante, de la diminution moyenne de sa responsabilité au moment des faits, retenue par les experts, et a conclu que c'était une faute grave ("lourde") qui devait être prise en compte. Elle a ensuite, dans un deuxième temps, fixé la peine hypothétique correspondant à la faute retenue, soit 8 ans. Ce raisonnement est conforme à la jurisprudence (supra consid. 2.2). Ayant à juste titre qualifié la faute objective de la recourante de très grave, la cour cantonale pouvait, sans violer l'échelle usuelle rappelée ci-dessus, retenir une faute grave eu égard à sa responsabilité que les experts ont qualifiée de moyennement diminuée. La recourante reproche à la cour cantonale d'avoir considéré que, malgré son très faible QI, sa culpabilité restait lourde. Dans la mesure où elle soutient qu'elle n'a reconnu le danger de planter un couteau dans la gorge de son compagnon qu'immédiatement après avoir commis cet acte, elle oppose sa propre appréciation à celle de la cour cantonale, dans une démarche appellatoire et, partant, irrecevable. En outre, comme le relève la recourante elle-même, la jurisprudence retient qu'il n'est pas nécessaire pour une personne d'être particulièrement intelligente pour reconnaître que des coups de couteau portés au cou d'une autre personne peuvent entraîner la mort (cf. ATF 109 IV 5 consid. 2 et arrêt 6B_935/2017 du 9 février 2018 consid. 1.3 et les références citées). Tel est le cas même si le quotient intellectuel de la recourante a été qualifié de très faible, étant rappelé qu'immédiatement après les faits, l'intéressée apparaissait pleinement consciente dudit danger puisqu'elle est allée chercher du secours et a compressé la plaie. Le grief est rejeté dans la mesure où il est recevable.</w:t>
      </w:r>
    </w:p>
    <w:p>
      <w:r>
        <w:rPr>
          <w:b/>
        </w:rPr>
        <w:t>E. 2.5</w:t>
      </w:r>
    </w:p>
    <w:p>
      <w:r>
        <w:t>S'agissant des autres critères de fixation de la peine, la recourante soutient que c'est une réduction de la quotité de peine "de plus de la moitié" qui aurait dû être prononcée, en tenant compte de la tentative et du repentir actif, de sorte que la peine finale ne pouvait dépasser trois ans.</w:t>
      </w:r>
    </w:p>
    <w:p>
      <w:r>
        <w:rPr>
          <w:b/>
        </w:rPr>
        <w:t>E. 2.5.1</w:t>
      </w:r>
    </w:p>
    <w:p>
      <w:r>
        <w:t>La recourante se contente de se référer à l'arrêt 6B_774/2020 du 28 juillet 2021, dans lequel le Tribunal fédéral a confirmé le prononcé d'une peine privative de liberté de sept ans (peine hypothétique de 10 ans, réduite à sept ans) à l'encontre d'un recourant, pleinement responsable, qui s'était rendu coupable de tentative de meurtre et qui n'avait pas appelé les secours.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les arrêts cités). La comparaison est généralement stérile, dès lors qu'il existe presque toujours des différences entre les circonstances, objectives et subjectives, que le juge doit prendre en considération dans chacun des cas (arrêts 6B_1403/2020 du 5 mai 2021 consid. 2.3; 6B_963/2019 du 8 octobre 2019 consid. 3.3.1 et la référence citée). La recourante ne démontre pas en quoi les circonstances concrètes de son cas, y compris les circonstances personnelles, seraient similaires au cas qu'elle cite si bien que la comparaison invoquée est sans pertinence.</w:t>
      </w:r>
    </w:p>
    <w:p>
      <w:r>
        <w:rPr>
          <w:b/>
        </w:rPr>
        <w:t>E. 2.5.2</w:t>
      </w:r>
    </w:p>
    <w:p>
      <w:r>
        <w:t>En tout état de cause, une réduction de moitié de la peine, compte tenu du repentir actif, n'apparaît pas procéder d'un abus du pouvoir d'appréciation dont disposait la cour cantonale. Dans la mesure où il est recevable, le grief soulevé doit être rejeté.</w:t>
      </w:r>
    </w:p>
    <w:p>
      <w:r>
        <w:rPr>
          <w:b/>
        </w:rPr>
        <w:t>E. 2.6</w:t>
      </w:r>
    </w:p>
    <w:p>
      <w:r>
        <w:t>En définitive, la recourante, qui précise qu'elle ne critique plus les éléments pris en compte à charge et à décharge et le fait que ceux-ci se compensent (cf. recours, p. 10), ne cite aucun élément important, propre à modifier la peine, qui aurait été omis ou pris en considération à tort. Pour le surplus, au vu de l'ensemble des circonstances et notamment de la gravité et de la nature de l'infraction commise, une peine privative de liberté de quatre ans n'apparaît pas sévère au point de conclure à un abus du pouvoir d'appréciation accordé à la cour cantonale.</w:t>
      </w:r>
    </w:p>
    <w:p>
      <w:r>
        <w:rPr>
          <w:b/>
        </w:rPr>
        <w:t>E. 3</w:t>
      </w:r>
    </w:p>
    <w:p>
      <w:r>
        <w:t>Invoquant une violation des art. 66a al. 2 CP , 13 Cst. et 8 CEDH, la recourante soutient que c'est à tort que la cour cantonale a prononcé son expulsion du territoire suisse.</w:t>
      </w:r>
    </w:p>
    <w:p>
      <w:r>
        <w:rPr>
          <w:b/>
        </w:rPr>
        <w:t>E. 3.1</w:t>
      </w:r>
    </w:p>
    <w:p>
      <w:r>
        <w:t>Aux termes de l' art. 66a al. 1 let. a CP , le juge expulse de Suisse l'étranger qui est notamment condamné pour meurtre (art. 111), quelle que soit la quotité de la peine prononcée à son encontre, pour une durée de cinq à quinze ans. Cette disposition s'applique également en cas de tentative ( ATF 146 IV 105 consid. 3.4.1; 144 IV 168 consid. 1.4.1; arrêt 6B_40/2021 du 29 septembre 2021 consid. 4.1). En l'espèce, la recourante, qui a été reconnue coupable de tentative de meurtre, remplit donc a priori les conditions d'une expulsion, sous la réserve d'une application de l' art. 66a al. 2 CP .</w:t>
      </w:r>
    </w:p>
    <w:p>
      <w:r>
        <w:rPr>
          <w:b/>
        </w:rPr>
        <w:t>E. 3.2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 p. 339).</w:t>
      </w:r>
    </w:p>
    <w:p>
      <w:r>
        <w:rPr>
          <w:b/>
        </w:rPr>
        <w:t>E. 3.2.1</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6B_330/2021 du 15 septembre 2021 consid. 4.2.1; 6B_1198/2020 du 19 juillet 2021 consid. 4.2; 6B_379/2021 du 30 juin 2021 consid. 1.2).</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6B_330/2021 précité consid. 4.2.2).</w:t>
      </w:r>
    </w:p>
    <w:p>
      <w:r>
        <w:rPr>
          <w:b/>
        </w:rPr>
        <w:t>E. 3.2.3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p. 165). En ce qui concerne en particulier l'enfant mineur étranger, celui-ci partage, du point de vue du droit des étrangers, le sort du parent, qui en a la garde et doit, si nécessaire, quitter le pays avec ce dernier si celui-ci n'a pas (ou plus) d'autorisation de séjour (cf. ATF 143 I 21 consid. 5.4 p. 28; arrêt 6B_939/2020 du 4 mars 2021 consid. 3.3.1 et la référence citée). Dans la pesée des intérêts, il faut aussi tenir compte de l'intérêt supérieur de l'enfant et son bien-être (art. 3 de la Convention du 20 novembre 1989 relative aux droits de l'enfant [CDE; RS 0.107]; ATF 143 I 21 consid. 5.5.1; arrêts 6B_855/2020 du 25 octobre 2021 consid. 3.3.2; 6B_1275/2020 du 4 mars 2021 consid. 1.4.3; arrêts CourEDH Üner contre Pays-Bas du 18 octobre 2006, n° 46410/99, § 58; Usmanov contre Russie du 22 décembre 2020, n° 43936/18, § 56). En ce qui concerne les enfants du parent concerné par l'expulsion, la jurisprudence tient notamment compte du fait que les parents de l'enfant vivent ensemble et ont la garde et l'autorité parente conjointe ou que le parent concerné par l'expulsion a la garde exclusive et l'autorité parentale ou qu'il n'a pas du tout la garde et l'autorité parentale et n'entretient donc de contacts avec l'enfant que dans le cadre d'un droit de visite (arrêts 6B_1258/2020 du 12 novembre 2021 consid. 4.2.3; 6B_855/2020 du 25 octobre 2021 consid. 3.3.2).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(cf. arrêts CourEDH Sezen c. Pays-Bas du 31 janvier 2006, n° 50252/99, § 49; Mehemi c. France (n° 2) du 10 avril 2003, n° 53470/99, § 45). Dès lors, pareille mesure doit reposer sur des considérations inspirées par l'intérêt de l'enfant et ayant assez de poids et de solidité (cf. arrêt CourEDH Olsson contre Suède du 24 mars 1988, n° 10465/83, § 72).</w:t>
      </w:r>
    </w:p>
    <w:p>
      <w:r>
        <w:rPr>
          <w:b/>
        </w:rPr>
        <w:t>E. 3.3</w:t>
      </w:r>
    </w:p>
    <w:p>
      <w:r>
        <w:t>Il ressort du jugement attaqué que la recourante, titulaire d'un permis B et âgée de 28 ans, est arrivée en Suisse à l'âge de 14 ans avec ses parents et y a suivi une partie de sa scolarité. Malgré la durée relativement longue de son séjour en Suisse, force est de constater qu'elle n'y est pas intégrée socialement et professionnellement, dès lors qu'elle n'a jamais travaillé ou complété une formation en Suisse et qu'elle a des antécédents. Sa mauvaise intégration professionnelle doit néanmoins être relativisée par le grave état mental (QI de 41 et trouble mental grave) qu'elle présente (cf. à cet égard arrêt 6B_908/2019 du 5 novembre 2019 consid. 2.4.2.1 et 2.4.3). Sous l'angle de sa vie familiale, elle est mère de quatre enfants, âgés respectivement de huit ans, cinq ans, trois ans et six mois, qui résident en Suisse, dont elle n'a pas la garde. Même si elle entretient des relations personnelles avec ses enfants par le biais d'un droit de visite, il ressort des faits du jugement attaqué qui lient le Tribunal fédéral que celui-ci est parfois négligé par la recourante en raison de sa consommation de drogue ou d'alcool. L'ensemble de ces éléments plaide plutôt en défaveur d'une ingérence dans la vie privée et/ou familiale de la recourante. Cette question peut cependant demeurer indécise dès lors qu'en tout état, la pesée des intérêts conduit au rejet du recours pour les motifs exposés ci-dessous (infra consid. 3.4 à 3.9).</w:t>
      </w:r>
    </w:p>
    <w:p>
      <w:r>
        <w:rPr>
          <w:b/>
        </w:rPr>
        <w:t>E. 3.4</w:t>
      </w:r>
    </w:p>
    <w:p>
      <w:r>
        <w:t>Il convient d'examiner si l'intérêt de la recourante à demeurer en Suisse prime sur celui de l'État à son expulsion. Cet examen implique en particulier de déterminer si la mesure litigieuse respecte le principe de la proportionnalité découlant des art. 5 al. 2 Cst. et 8 par. 2 CEDH (cf. arrêts 6B_379/2021 du 30 juin 2021 consid. 1.4; 6B_50/2020 du 3 mars 2020 consid. 1.4; 6B_143/2019 du 6 mars 2019 consid. 3.4; 6B_1079/2018 du 14 décembre 2018 consid. 1.4).</w:t>
      </w:r>
    </w:p>
    <w:p>
      <w:r>
        <w:rPr>
          <w:b/>
        </w:rPr>
        <w:t>E. 3.5</w:t>
      </w:r>
    </w:p>
    <w:p>
      <w:r>
        <w:t>La cour cantonale a d'abord retenu qu'il y avait lieu de tenir compte du fait que l'infraction de tentative de meurtre commise par la recourante était particulièrement grave. En outre, l'intéressée était impulsive et violente et représentait clairement une menace grave pour la sécurité. La cour cantonale a également tenu compte du fait que ses antécédents étaient mauvais et qu'à dires d'expert, il existait un risque moyen de récidive d'actes de violence. Elle a donc conclu que l'intérêt public à l'expulsion de la recourante était très important. La cour cantonale a ensuite relevé que, quand bien même elle avait passé la moitié de sa vie en Suisse, son intégration professionnelle, économique et sociale était médiocre. Certes, le besoin de relations avec ses enfants ne pouvait évidemment pas être nié. Toutefois, elle consommait drogue et alcool et renon çait parfois pour ce motif à exercer son droit de visite, alors qu'elle prétendait que ses enfants étaient centraux pour elle. La cour cantonale a également considéré qu'elle persistait à vouloir consommer des stupéfiants, ce qui, selon elle, démontrait qu'elle n'avait nulle intention de changer son mode de vie, qui était nuisible pour ses enfants. Quant à ses autres liens familiaux, ils étaient distendus, même si ses relations avec ses parents s'étaient améliorées. La cour cantonale a jugé qu'on pouvait s'interroger sur l'authenticité de sa volonté de se soigner, compte tenu de l'absence d'introspection et d'une attitude tantôt insultante, tantôt nonchalante vis-à-vis des acteurs de la chaîne pénale. D'un autre côté, la cour cantonale a exposé que les perspectives de réintégration de la recourante en Allemagne, pays limitrophe où elle avait passé son enfance, étaient bonnes, dès lors que celle-ci ne rencontrerait vraisemblablement pas davantage de difficultés de réinsertion dans ce pays qu'à sa sortie de prison en Suisse. En particulier, elle pourrait suivre un traitement dans ce pays et, au vu de ses difficultés personnelles, il ne faisait pas de doute que les autorités de protection de l'adulte allemandes prendraient des mesures d'encadrement similaires à celles qui avaient été mises en place ici. Elle pourrait par ailleurs conserver des contacts avec ses enfants, d'autant plus que les deux aînés vivaient déjà chez ses parents et que des démarches étaient en cours pour que le troisième enfant les rejoigne. En définitive, la cour cantonale a jugé que, malgré la présence en Suisse de quatre enfants mineurs, et compte tenu de la gravité des actes pour lesquels elle est condamnée, du risque effectif de récidive et de ses perspectives de réinsertion en Allemagne, l'intérêt public à l'éloignement de l'intéressée l'emportait sur l'intérêt privé de celle-ci à demeurer en Suisse. Elle a donc ordonné l'expulsion de la recourante du territoire suisse pour une durée de cinq ans.</w:t>
      </w:r>
    </w:p>
    <w:p>
      <w:r>
        <w:rPr>
          <w:b/>
        </w:rPr>
        <w:t>E. 3.6</w:t>
      </w:r>
    </w:p>
    <w:p>
      <w:r>
        <w:t>En l'espèce, quoiqu'en dise la recourante, les intérêts présidant à son expulsion sont très importants, compte tenu de la nature et de la gravité de l'infraction commise ainsi que du risque non négligeable de récidive d'actes de violence que présente la recourante, laquelle a déjà été condamnée à deux reprises par le passé, notamment pour des infractions contre l'intégrité corporelle. Par ailleurs, contrairement à ce qu'elle semble penser, sa diminution de responsabilité était loin de pouvoir faire obstacle à son expulsion. En effet, il convient tout d'abord de rappeler que l' art. 66a al. 3 CP contient une énumération exhaustive des circonstances atténuantes permettant de renoncer à une expulsion ( ATF 144 IV 168 consid. 1.4.2). En outre, malgré cette diminution moyenne de responsabilité, la cour cantonale a retenu que la culpabilité de la recourante restait lourde, l'intéressée ayant porté atteinte au bien juridique protégé le plus important, la vie, qui plus est celle du père de ses quatre enfants. En outre, force est de constater que la peine privative de liberté de quatre ans à laquelle elle a été condamnée - qui tient compte de la circonstance atténuante de la responsabilité restreinte - dépasse largement une année, ce qui pourrait permettre une révocation de son autorisation de séjour sur la base de l' art. 62 al. 1 let. b LEI (cf. ATF 139 I 145 consid. 2.1 p. 147, selon lequel constitue une "peine privative de liberté de longue durée" au sens de l'art. 62 al. 1 let. b LEtr [depuis le 1er janvier 2019: LEI] toute peine dépassant un an d'emprisonnement).</w:t>
      </w:r>
    </w:p>
    <w:p>
      <w:r>
        <w:rPr>
          <w:b/>
        </w:rPr>
        <w:t>E. 3.6.1</w:t>
      </w:r>
    </w:p>
    <w:p>
      <w:r>
        <w:t>En tant que la recourante soutient que ce sont ses faibles capacités cognitives et volitives qui expliqueraient qu'elle soit "impulsive et violente", elle se fonde sur des éléments qui ne ressortent pas du jugement attaqué, sans démontrer l'arbitraire de leur omission, de sorte que son argumentation est irrecevable.</w:t>
      </w:r>
    </w:p>
    <w:p>
      <w:r>
        <w:rPr>
          <w:b/>
        </w:rPr>
        <w:t>E. 3.6.2</w:t>
      </w:r>
    </w:p>
    <w:p>
      <w:r>
        <w:t>S'agissant de son attitude durant le temps de la procédure et de ses perspectives, la recourante reproche à la cour cantonale d'avoir retenu, de manière insoutenable, qu'elle privilégiait sa consommation de stupéfiants au détriment de ses relations avec ses enfants et qu'elle n'avait nulle intention de changer son mode de vie. En se contentant de soutenir qu'elle entend continuer à consulter un psychiatre, qu'elle ne souhaite plus jamais boire, et qu'elle n'a jamais violé la mesure de substitution consistant au contrôle d'abstinence à l'alcool et à tout produit stupéfiant, elle oppose en réalité sa propre appréciation des preuves à celle de la cour cantonale, sans démontrer en quoi celle-ci est arbitraire. Au demeurant, dès lors qu'il ressort des faits du jugement attaqué qui lient le Tribunal fédéral ( art. 105 al. 1 LTF ) que la recourante a fait preuve d'une absence d'introspection et d'une attitude insultante et nonchalante vis-à-vis des acteurs de la chaîne pénale et qu'elle a elle-même déclaré qu'elle persistait à vouloir consommer des stupéfiants, la cour cantonale pouvait sans arbitraire retenir qu'elle n'avait pas l'intention de changer son mode de vie. Son grief est dès lors rejeté dans la mesure où il est recevable.</w:t>
      </w:r>
    </w:p>
    <w:p>
      <w:r>
        <w:rPr>
          <w:b/>
        </w:rPr>
        <w:t>E. 3.6.3</w:t>
      </w:r>
    </w:p>
    <w:p>
      <w:r>
        <w:t>C'est enfin en vain que la recourante se plaint que la cour cantonale aurait fait une application arbitraire des preuves en omettant que les experts avaient également retenu qu'un suivi thérapeutique "pouvait participer à diminuer le risque de récidive pour les délits du même genre". En effet, la cour cantonale n'a pas omis ces éléments. Cependant, contrairement à ce que soutient la recourante, ils ne constituent pas un "pronostic favorable" dont il y aurait lieu de tenir compte parce qu'il impliquerait "un intérêt public réduit à l'expulsion". La cour cantonale pouvait ainsi sans arbitraire considérer que la recourante représentait une menace grave pour la sécurité.</w:t>
      </w:r>
    </w:p>
    <w:p>
      <w:r>
        <w:rPr>
          <w:b/>
        </w:rPr>
        <w:t>E. 3.7</w:t>
      </w:r>
    </w:p>
    <w:p>
      <w:r>
        <w:t>La recourante a un certain intérêt à demeurer en Suisse compte tenu de la durée relativement longue de son séjour dans ce pays (14 ans), du fait qu'elle y est arrivée à l'âge de 14 ans et du fait que ses quatre enfants mineurs - avec lesquels elle entretient des contacts réguliers - ainsi que ses deux parents y vivent. Cela étant, comme l'a relevé à juste titre la cour cantonale, pour le reste, la recourante n'a démontré en Suisse aucune intégration socio-professionnelle, puisqu'elle n'y a jamais travaillé ou complété de formation. En outre, s'agissant de ses liens avec son pays d'origine, l'Allemagne, c'est en vain que la recourante soutient qu'elle n'a aucune attache solide avec cet État, que ses quatre enfants, qui disposent d'un droit de demeurer en Suisse, constituent pour elle "un élément central de sa vie" et que ses parents constituent "un précieux appui" pour elle, compte tenu de ses difficultés psychiques. En effet, il convient de rappeler que la recourante ne dispose pas de la garde sur ses enfants et que l'intéressée est renvoyée dans un pays limitrophe, de sorte que les membres de sa famille restés en Suisse pourront lui rendre visite régulièrement. Dans ce cas, les contacts de la recourante avec ses enfants pourront, en particulier, être maintenus par l'intermédiaire des moyens de communication modernes - s'agissant des deux ainés en tout cas - ainsi que par des séjours réguliers dans le pays d'origine de la recourante, ce d'autant plus que celui-ci est proche géographiquement du pays de résidence des enfants (cf. ATF 144 I 91 consid. 5.1 p. 96 s. et les références citées; arrêts 6B_229/2021 du 25 octobre 2021 consid. 2.3; 6B_330/2021 du 15 septembre 2021 consid. 4.4.2). En tant que la recourante soutient que le maintien des contacts avec ses enfants ne sera pas possible car "on ne peut pas attendre des intervenants de la DGEJ qu'ils entreprennent des mesures pour amener les enfants de la recourante jusqu'en Allemagne" (recours, p. 13), elle invoque des éléments qui ne ressortent pas du jugement attaqué, sans démontrer l'arbitraire de leur omission. Au demeurant, si le transport des enfants demandera certes une certaine organisation, on peut notamment imaginer que les parents de la recourante, chez qui vivent trois de ses enfants, pourront l'aider à maintenir des contacts réguliers avec ceux-ci.</w:t>
      </w:r>
    </w:p>
    <w:p>
      <w:r>
        <w:rPr>
          <w:b/>
        </w:rPr>
        <w:t>E. 3.7.1</w:t>
      </w:r>
    </w:p>
    <w:p>
      <w:r>
        <w:t>La recourante soutient enfin que le maintien de son suivi et de son encadrement en Suisse est déterminant pour la stabilité de son état de santé psychique. Elle invoque également le fait qu'en raison notamment de son retard mental moyen, il lui sera difficile d'entreprendre seule des démarches en vue de se loger, comme toute autre démarche administrative nécessaire à sa réintégration, de même que de s'adresser aux autorités de protection de l'adulte compétentes, en Allemagne, pour leur faire état de sa situation fragile.</w:t>
      </w:r>
    </w:p>
    <w:p>
      <w:r>
        <w:rPr>
          <w:b/>
        </w:rPr>
        <w:t>E. 3.7.2</w:t>
      </w:r>
    </w:p>
    <w:p>
      <w:r>
        <w:t>Il ressort de la jurisprudence que, selon l'état de santé de l'intéressé et les prestations de soins disponibles dans l'État d'origine, l'expulsion du territoire suisse peut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p. 459). En matière d'expulsion pénale, l'autorité de jugement appelée à prononcer une telle mesure doit examiner si, en raison de l'état de santé du prévenu, la mesure se révèle disproportionnée (arrêt 6B_312/2020 du 11 mai 2021 consid. 2.2.1).</w:t>
      </w:r>
    </w:p>
    <w:p>
      <w:r>
        <w:rPr>
          <w:b/>
        </w:rPr>
        <w:t>E. 3.7.3</w:t>
      </w:r>
    </w:p>
    <w:p>
      <w:r>
        <w:t>S'agissant des mesures d'encadrement dont la recourante bénéficie en Suisse, celle-ci ne soutient pas que de telles mesures ne seraient pas disponibles dans son pays d'origine. Il en va de même des éventuels soins et traitement adaptés à ses problèmes psychiques. A cet égard, on relèvera que la législation allemande connaît aussi des mesures de protection de l'adulte (cf. art. 1896 ss du Code civil allemand). Il s'ensuit que le pays de renvoi pourra dès lors, s'il l'estime utile et nécessaire, procéder à des mesures d'encadrement de la recourante. Au demeurant, la recourante relève elle-même que sa curatelle de représentation et de gestion n'a pas été interrompue du fait de son incarcération. Durant ce temps, elle pourra dès lors, le cas échéant, obtenir l'aide dont elle dit avoir besoin pour effectuer des démarches en vue de se loger dans son pays d'origine et pour s'adresser aux autorités de protection de l'adulte compétentes, en Allemagne, pour leur faire état de sa situation. Pour le surplus, la recourante ne démontre nullement, sur la base des faits retenus par l'autorité précédente, que son état de santé s'opposerait à son expulsion, ni ne formule, sur ce point, un grief recevable - répondant aux exigences de motivation découlant des art. 42 al. 2 et 106 al. 2 LTF - relatif à une éventuelle violation de l' art. 3 CEDH .</w:t>
      </w:r>
    </w:p>
    <w:p>
      <w:r>
        <w:rPr>
          <w:b/>
        </w:rPr>
        <w:t>E. 3.8</w:t>
      </w:r>
    </w:p>
    <w:p>
      <w:r>
        <w:t>Compte tenu de la gravité de l'infraction commise, du risque de récidive d'actes de violence, des antécédents de la recourante, de sa mauvaise intégration en Suisse et des possibilités qu'elle conserve de se réintégrer dans son pays d'origine - dans lequel elle a vécu durant la moitié de son existence et où elle ne sera pas privée de toute relation familiale -, l'intérêt public à l'expulsion l'emporte sur l'intérêt privé de l'intéressée à demeurer en Suisse. Si l'expulsion portera certes une atteinte aux relations entre la recourante et ses enfants, elle reste d'une durée limitée et ne l'empêchera pas d'entretenir un contact régulier avec ceux-ci depuis ce pays limitrophe de la Suisse. L'expulsion, prononcée pour la durée (minimale) de cinq ans, s'avère conforme au principe de la proportionnalité découlant des art. 5 al. 2 Cst. et 8 par. 2 CEDH.</w:t>
      </w:r>
    </w:p>
    <w:p>
      <w:r>
        <w:rPr>
          <w:b/>
        </w:rPr>
        <w:t>E. 3.9</w:t>
      </w:r>
    </w:p>
    <w:p>
      <w:r>
        <w:t>Une des conditions pour l'application de l' art. 66a al. 2 CP faisant ainsi défaut, la cour cantonale n'a pas violé le droit fédéral, constitutionnel ou international en ordonnant l'expulsion de la recourante.</w:t>
      </w:r>
    </w:p>
    <w:p>
      <w:r>
        <w:rPr>
          <w:b/>
        </w:rPr>
        <w:t>E. 4</w:t>
      </w:r>
    </w:p>
    <w:p>
      <w:r>
        <w:t>La recourante soutient encore que son expulsion du territoire suisse violerait l' art. 3 CDE . Comme susmentionné, selon la jurisprudence, dans la pesée des intérêts, il faut aussi tenir compte de l'intérêt supérieur et du bien-être de l'enfant ( art. 3 CDE ). Cet intérêt est particulièrement atteint quand l'expulsion entraîne une rupture de l'unité familiale, soit lorsque l'enfant vit avec ses deux parents qui disposent de l'autorité parentale et de la garde conjointes (cf. supra consid. 3.2.3), ce qui n'est pas le cas en l'espèce, les enfants de la recourante ne vivant chez aucun de leurs parents. En tout état de cause, la recourante ne saurait déduire aucun droit à demeurer en Suisse des dispositions de la CDE (cf. ATF 140 I 145 consid. 3.2 p. 148; 139 I 315 consid. 2.4 et 2.5 p. 320 ss; arrêts 6B_939/2020 du 4 mars 2020 consid. 3.3.1; 6B_1027/2018 du 7 novembre 2018 consid. 3; 6B_770/2018 du 24 septembre 2018 consid. 3). Le grief est rejeté dans la mesure où il est recevable.</w:t>
      </w:r>
    </w:p>
    <w:p>
      <w:r>
        <w:rPr>
          <w:b/>
        </w:rPr>
        <w:t>E. 5</w:t>
      </w:r>
    </w:p>
    <w:p>
      <w:r>
        <w:t>Au vu de ce qui précède, le recours doit être rejeté dans la mesure où il est recevable. Comme il était d'emblée dénué de chance de succès, l'assistance judiciaire doit être refusée ( art. 64 al. 1 LTF ). La recourante supporte les frais de la cause, qui sont fixés en tenant compte de sa situation financière, qui n'apparaît pas favorable (art. 65 al. 2 et 66 al. 1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