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1033/2016 vom 10. März 2017</w:t>
      </w:r>
    </w:p>
    <w:p>
      <w:r>
        <w:t>Bundesgericht, 2017-03-10, DE</w:t>
      </w:r>
    </w:p>
    <w:p>
      <w:r>
        <w:rPr>
          <w:b/>
        </w:rPr>
        <w:t xml:space="preserve">Quelle: </w:t>
      </w:r>
      <w:r>
        <w:t>https://mcp.opencaselaw.ch/entscheid/bger_6B_1033_2016</w:t>
      </w:r>
    </w:p>
    <w:p>
      <w:r>
        <w:t>FR: TF 6B 1033/2016 du 10 mars 2017</w:t>
      </w:r>
    </w:p>
    <w:p>
      <w:r>
        <w:t>IT: TF 6B 1033/2016 del 10 marzo 2017</w:t>
      </w:r>
    </w:p>
    <w:p>
      <w:pPr>
        <w:pStyle w:val="Heading2"/>
      </w:pPr>
      <w:r>
        <w:t>Regeste</w:t>
      </w:r>
    </w:p>
    <w:p>
      <w:r>
        <w:t>Nichtanhandnahme (Prozessbetrug) | Strafprozess</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rPr>
          <w:b/>
        </w:rPr>
        <w:t>E. 2</w:t>
      </w:r>
    </w:p>
    <w:p>
      <w:r>
        <w:t>Der Privatklägerschaft wird ein rechtlich geschütztes Interesse zuerkannt, wenn der angefochtene Entscheid sich auf die Beurteilung ihrer Zivilansprüche auswirken kann (Art. 81 Abs. 1 lit. b Ziff. 5 BGG). Dies verlangt grundsätzlich von der Privatklägerschaft, dass sie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137 IV 246 E. 1.3.1 S. 247 f., 219 E. 2.4 S. 222 f.; je mit Hinweisen). Das Bundesgericht stellt an die Begründung strenge Anforderungen ( BGE 141 IV 1 E. 1.1 S. 4 f.).</w:t>
      </w:r>
    </w:p>
    <w:p>
      <w:r>
        <w:rPr>
          <w:b/>
        </w:rPr>
        <w:t>E. 3</w:t>
      </w:r>
    </w:p>
    <w:p>
      <w:r>
        <w:t>Unbekümmert um die fehlende Legitimation in der Sache selbst kann die Privatklägerschaft eine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 in der Sache nicht legitimierter Beschwerdeführer kann deshalb weder die Beweiswürdigung kritisieren, noch geltend machen, die Begründung sei materiell unzutreffend ( BGE 136 IV 41 E. 1.4 S. 44; 135 II 430 E. 3.2 S. 436 f.; je mit Hinweisen). Er kann hingegen vorbringen, auf ein Rechtsmittel sei zu Unrecht nicht eingetreten worden, er sei nicht angehört worden, er habe keine Gelegenheit erhalten, Beweisanträge zu stellen, oder er habe keine Einsicht in die Akten nehmen können (sog. "Star-Praxis"; vgl. dazu BGE 141 IV 1 E. 1.1 S. 5; Urteil 6B_827/2014 vom 1. Februar 2016 E. 1.1; je mit Hinweisen).</w:t>
      </w:r>
    </w:p>
    <w:p>
      <w:r>
        <w:rPr>
          <w:b/>
        </w:rPr>
        <w:t>E. 4</w:t>
      </w:r>
    </w:p>
    <w:p>
      <w:r>
        <w:t>Der Beschwerdeführer macht geltend, er sei als Strafantragsteller zur Beschwerde befugt. Dies genügt für seine Legitimation jedoch nicht. Eine Verletzung seines Strafantragsrechts als solches (Art. 81 Abs. 1 lit. b Ziff. 6 BGG) rügt er nicht und ist nicht ersichtlich. Er erhebt auch keine substanziierten formellen Rügen und zeigt nicht auf, weshalb sich der angefochtene Entscheid inwiefern auf welche Zivilforderungen auswirken kann. Dies ergibt sich nicht ohne Weiteres aus den Akten. Auf seine offensichtlich unzulässige Beschwerde ist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