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6B_1032/2019 vom 30. Oktober 2019</w:t>
      </w:r>
    </w:p>
    <w:p>
      <w:r>
        <w:t>Bundesgericht, 2019-10-30, DE</w:t>
      </w:r>
    </w:p>
    <w:p>
      <w:r>
        <w:rPr>
          <w:b/>
        </w:rPr>
        <w:t xml:space="preserve">Quelle: </w:t>
      </w:r>
      <w:r>
        <w:t>https://mcp.opencaselaw.ch/entscheid/bger_6B_1032_2019</w:t>
      </w:r>
    </w:p>
    <w:p>
      <w:r>
        <w:t>FR: TF 6B_1032/2019 du 30 octobre 2019</w:t>
      </w:r>
    </w:p>
    <w:p>
      <w:r>
        <w:t>IT: TF 6B_1032/2019 del 30 ottobre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6B_1032/2019</w:t>
      </w:r>
    </w:p>
    <w:p>
      <w:r>
        <w:t>Verfügung vom 30. Oktober 2019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Gerichtsschreiberin Arquint Hill.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Oberstaatsanwaltschaft des Kantons Zürich,</w:t>
      </w:r>
    </w:p>
    <w:p>
      <w:r>
        <w:t>Beschwerdegegnerin.</w:t>
      </w:r>
    </w:p>
    <w:p>
      <w:r>
        <w:t>Gegenstand</w:t>
      </w:r>
    </w:p>
    <w:p>
      <w:r>
        <w:t>Nichtanhandnahme (Diebstahl); Rückzug,</w:t>
      </w:r>
    </w:p>
    <w:p>
      <w:r>
        <w:t>Beschwerde gegen den Beschluss des Obergerichts des Kantons Zürich, III. Strafkammer, vom 15. August 2019 (UE190097-O/U/HEI).</w:t>
      </w:r>
    </w:p>
    <w:p>
      <w:r>
        <w:t>Erwägungen:</w:t>
      </w:r>
    </w:p>
    <w:p>
      <w:r>
        <w:t>Die Beschwerde wurde mit Schreiben vom 27. Oktober (eingegangen am 30. Oktober) 2019 zurückgezogen.</w:t>
      </w:r>
    </w:p>
    <w:p>
      <w:r>
        <w:t>Demnach verfügt der Präsident:</w:t>
      </w:r>
    </w:p>
    <w:p>
      <w:r>
        <w:t>1.</w:t>
      </w:r>
    </w:p>
    <w:p>
      <w:r>
        <w:t>Das Verfahren wird infolge Rückzug der Beschwerde von der Geschäftskontrolle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Obergericht des Kantons Zürich, III. Strafkammer, schriftlich mitgeteilt.</w:t>
      </w:r>
    </w:p>
    <w:p>
      <w:r>
        <w:t>Lausanne, 30. Oktober 2019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