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1031/2023 vom 13. Mai 2024</w:t>
      </w:r>
    </w:p>
    <w:p>
      <w:r>
        <w:t>Bundesgericht, 2024-05-13, FR</w:t>
      </w:r>
    </w:p>
    <w:p>
      <w:r>
        <w:rPr>
          <w:b/>
        </w:rPr>
        <w:t xml:space="preserve">Quelle: </w:t>
      </w:r>
      <w:r>
        <w:t>https://mcp.opencaselaw.ch/entscheid/bger_6B_1031_2023</w:t>
      </w:r>
    </w:p>
    <w:p>
      <w:r>
        <w:t>FR: TF 6B 1031/2023 du 13 mai 2024</w:t>
      </w:r>
    </w:p>
    <w:p>
      <w:r>
        <w:t>IT: TF 6B 1031/2023 del 13 maggio 2024</w:t>
      </w:r>
    </w:p>
    <w:p>
      <w:pPr>
        <w:pStyle w:val="Heading2"/>
      </w:pPr>
      <w:r>
        <w:t>Regeste</w:t>
      </w:r>
    </w:p>
    <w:p>
      <w:r>
        <w:t>Violation grave de la LStup; fixation de la peine; expulsion; arbitraire | Droit pénal (en général)</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146 IV 88 consid. 1.3.1). Ainsi, en particulier, du contenu de la pensée ( ATF 148 IV 234 consid. 3.4; 147 IV 439 consid. 7.3.1; 141 IV 369 consid. 6.3).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 En l'espèce, sous couvert d'arbitraire, le recourant se borne à opposer sa propre lecture des faits à celle de la cour cantonale, de manière appellatoire. Ainsi, en particulier, lorsqu'il conteste avoir endossé une position de leader et que lui-même et ses comparses aient eu un " intérêt mutuel [ou] supérieur à une prétendue bande " ou encore lorsqu'il affirme que son activité délictueuse n'aurait généré que des revenus " modiques " en comparaison de son activité professionnelle. Il en va de même dans la mesure où il affirme avoir refusé de dénoncer sa source [d'approvisionnement] pour protéger sa vie et celle de sa famille ou encore qu'il ne présenterait plus aucun risque de récidive, respectivement qu'il bénéficierait d'une " intégration dans une vie sociale stable et équilibrée ", que son comportement délictueux s'expliquerait par un salaire modeste (alors que la cour cantonale a retenu que sa situation n'était pas précaire), qu'il a l'intention de fonder une famille dans un proche avenir, ce qui l'amènerait à réfléchir aux risques encourus " par le fléau de la drogue ", que son passage en prison a été un vrai traumatisme et qu'il a désormais la volonté de ne plus commettre des actes qui pourraient l'y faire retourner ou encore que sa réussite professionnelle serait " exceptionnelle ". Ces développements sont irrecevables.</w:t>
      </w:r>
    </w:p>
    <w:p>
      <w:r>
        <w:rPr>
          <w:b/>
        </w:rPr>
        <w:t>E. 2</w:t>
      </w:r>
    </w:p>
    <w:p>
      <w:r>
        <w:t>En droit, le recourant tente vainement de se prévaloir des revenus de son activité professionnelle pour contester la qualification du métier ( art. 19 ch. 2 let . c LStup; ATF 147 IV 176 consid. 2.4.1) et, compte tenu des quantités de stupéfiants en jeu, il ne peut pas sérieusement soutenir non plus que la circonstance aggravante de l' art. 19 al. 2 let. a LStup ne serait pas réalisée au motif qu'il n'aurait pas eu connaissance du taux de pureté de la cocaïne au moment d'agir. Le recourant tente tout aussi vainement de comparer la sanction qui lui a été infligée avec celles prononcées dans d'autres affaires (cf. ATF 141 IV 61 consid. 6.3.2 p. 69; plus récemment: arrêt 6B_1075/2023 du 5 février 2024 consid. 3.3). Cela étant précisé, en rappelant que selon une jurisprudence bien établie un trafic de stupéfiants constitue une violation grave de l'ordre public qui peut justifier une mesure d'expulsion ou d'interdiction d'entrée même dans le cadre plus favorable de l'ALCP, pour peu qu'elle respecte les garanties de la CEDH et le principe de la proportionnalité ( art. 5 par. 1 annexe I ALCP ; ATF 145 IV 364 consid. 3.5.2 et les références citées; arrêts 6B_798/2022 du 29 mars 2023 consid. 2.3; 6B_894/2020 du 26 novembre 2020 consid. 3.3; 2C_487/2020 du 17 août 2020 consid. 4.2.2), on peut renvoyer à la motivation en droit de la cour cantonale, qui ne prête pas le flanc à la critique tant en ce qui concerne la qualification de l'infraction, la fixation de la peine que le prononcé de la mesure d'expulsion et l'inscription au SIS ( art. 109 al. 3 LTF ).</w:t>
      </w:r>
    </w:p>
    <w:p>
      <w:r>
        <w:rPr>
          <w:b/>
        </w:rPr>
        <w:t>E. 3</w:t>
      </w:r>
    </w:p>
    <w:p>
      <w:r>
        <w:t>Au vu de ce qui précède, le recours, manifestement infondé, peut être écarté dans la procédure prévue par l' art. 109 al. 2 LTF . Le recourant supporte les frais de la procédure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