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6B_1031/2013 vom 31. März 2014</w:t>
      </w:r>
    </w:p>
    <w:p>
      <w:r>
        <w:t>Bundesgericht, 2014-03-31, FR</w:t>
      </w:r>
    </w:p>
    <w:p>
      <w:r>
        <w:rPr>
          <w:b/>
        </w:rPr>
        <w:t xml:space="preserve">Quelle: </w:t>
      </w:r>
      <w:r>
        <w:t>https://mcp.opencaselaw.ch/entscheid/bger_6B_1031_2013</w:t>
      </w:r>
    </w:p>
    <w:p>
      <w:r>
        <w:t>FR: TF 6B_1031/2013 du 31 mars 2014</w:t>
      </w:r>
    </w:p>
    <w:p>
      <w:r>
        <w:t>IT: TF 6B_1031/2013 del 31 marzo 2014</w:t>
      </w:r>
    </w:p>
    <w:p>
      <w:pPr>
        <w:pStyle w:val="Heading2"/>
      </w:pPr>
      <w:r>
        <w:t>Erwägungen</w:t>
      </w:r>
    </w:p>
    <w:p>
      <w:r>
        <w:rPr>
          <w:b/>
        </w:rPr>
        <w:t>E. 1</w:t>
      </w:r>
    </w:p>
    <w:p>
      <w:r>
        <w:t>La pièce nouvelle déposée par la recourante est irrecevable ( art. 99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2.2</w:t>
      </w:r>
    </w:p>
    <w:p>
      <w:r>
        <w:t>En l'occurrence, la recourante explique que sa mère présentait depuis le début de l'année 1998 des troubles de la mémoire et de l'orientation qui affectaient sa capacité de discernement et sa faculté d'apprécier la valeur économique des biens. Dans le cadre de la vente en 1999 d'un chalet situé à D.________ conclue entre sa mère et son frère B.________, celui-ci, ainsi que d'autres personnes qu'une enquête permettrait d'identifier, avaient délibérément trompé le notaire E.________, en l'amenant à légaliser la signature apposée par sa mère hors de sa vue sur la procuration destinée à autoriser une tierce personne à signer l'acte de vente, sans qu'il puisse apprécier sa capacité de discernement. Or, la vente s'était faite à un montant nettement inférieur à la valeur réelle de ce bien immobilier. En sa qualité d'héritière à raison d'un quart, elle avait subi un préjudice à due concurrence équivalant à la différence entre la valeur réelle du chalet et son prix de vente.</w:t>
      </w:r>
    </w:p>
    <w:p>
      <w:r>
        <w:rPr>
          <w:b/>
        </w:rPr>
        <w:t>E. 2.3</w:t>
      </w:r>
    </w:p>
    <w:p>
      <w:r>
        <w:t>Le point de savoir si les explications de la recourante sur les prétentions civiles qu'elle entend faire valoir par la suite sont suffisamment précises au regard de la seule infraction débattue dans le cadre du recours (obtention frauduleuse d'une constatation fausse) et des exigences de motivation posées à l' art. 42 al. 1 LTF peut demeurer indécis. Compte tenu de l'issue qu'il convient de donner à la cause sur le fond, point n'est besoin en effet de rechercher plus avant si et dans quelle mesure la recourante a qualité pour agir au regard des principes rappelés ci-dessus.</w:t>
      </w:r>
    </w:p>
    <w:p>
      <w:r>
        <w:rPr>
          <w:b/>
        </w:rPr>
        <w:t>E. 3</w:t>
      </w:r>
    </w:p>
    <w:p>
      <w:r>
        <w:t>A l'appui de son recours, la recourante soutient que les faits incriminés seraient constitutifs d'une obtention frauduleuse d'une constatation fausse. Cette infraction n'a été mentionnée ni dans la plainte ni dans le cadre de la procédure de recours devant les autorités cantonales. Dans ces conditions, force est d'admettre qu'aucune décision n'a été rendue sur ce point au niveau cantonal, par l'autorité précédente en particulier. Aussi peut-on émettre de sérieux doutes quant à la recevabilité du recours en matière pénale faute d'épuisement des instances; pour les mêmes motifs que précédemment invoqués, cette question peut néanmoins également souffrir de demeurer indécise.</w:t>
      </w:r>
    </w:p>
    <w:p>
      <w:r>
        <w:rPr>
          <w:b/>
        </w:rPr>
        <w:t>E. 4</w:t>
      </w:r>
    </w:p>
    <w:p>
      <w:r>
        <w:t>Invoquant implicitement une violation de l' art. 310 al. 1 let. a CPP , la recourante se plaint d'une instruction insuffisante des faits dénoncés dans sa plainte en lien avec l'infraction d'obtention frauduleuse d'une constatation fausse ( art. 253 CP ).</w:t>
      </w:r>
    </w:p>
    <w:p>
      <w:r>
        <w:rPr>
          <w:b/>
        </w:rPr>
        <w:t>E. 4.1</w:t>
      </w:r>
    </w:p>
    <w:p>
      <w:r>
        <w:t>Aux termes de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4.2</w:t>
      </w:r>
    </w:p>
    <w:p>
      <w:r>
        <w:t>Il ressort aussi bien de l'ordonnance du Ministère public que de l'arrêt de la Cour de justice que la question de la capacité de discernement de la mère de la recourante au moment de la conclusion du contrat de vente immobilière litigieuse n'a pas fait l'objet d'un examen concret de leur part. Cela étant, la légalisation litigieuse a eu lieu le 4 novembre 1999, soit avant l'entrée en vigueur, le 1</w:t>
      </w:r>
    </w:p>
    <w:p>
      <w:r>
        <w:t>er octobre 2002, de la modification du 5 octobre 2001 du code pénal suisse et du code pénal militaire relative à la prescription de l'action pénale en général et en cas d'infraction contre l'intégrité sexuelle des enfants (RO 2002 2993). Sous réserve d'exceptions non réalisées en l'espèce (cf. art. 70 al. 4 CP ), le nouveau droit de la prescription ne s'applique en principe qu'aux infractions commises après son entrée en vigueur. Celles qui ont été commises auparavant restent soumises à l'ancien droit, à moins que le nouveau droit ne soit plus favorable à l'auteur, conformément au principe de la</w:t>
      </w:r>
    </w:p>
    <w:p>
      <w:r>
        <w:t>lex mitior ( art. 2 al. 2 CP ), qui vaut également en matière de prescription ( art. 337 CP ; ATF 129 IV 49 consid. 5.1 p. 51 et les arrêts cités). Or, conformément à l'art. 70 aCP, dans sa teneur antérieure à la novelle du 5 octobre 2001 (RO 54 801 et RO 1994 2290), l'action pénale se prescrit par vingt ans si l'infraction est passible de la réclusion à vie, par dix ans si elle est passible de l'emprisonnement pour plus de trois ans ou de la réclusion et par cinq ans si elle est passible d'une autre peine. L' art. 253 CP punissant l'obtention frauduleuse d'une constatation fausse d'une peine privative de liberté de cinq ans au plus ou d'une peine pécuniaire, le délai de prescription ordinaire selon l'ancien droit est en l'espèce de dix ans. Il suit de là que l'action pénale est, à l'image de ce que la juridiction cantonale a mis en évidence s'agissant des infractions d'usure ( art. 157 CP ) et de faux dans les titres ( art. 251 et 317 CP ), également prescrite s'agissant de l'infraction d'obtention frauduleuse d'une constatation fausse au sens de l' art. 253 CP .</w:t>
      </w:r>
    </w:p>
    <w:p>
      <w:r>
        <w:rPr>
          <w:b/>
        </w:rPr>
        <w:t>E. 5</w:t>
      </w:r>
    </w:p>
    <w:p>
      <w:r>
        <w:t>Faute pour la recourante de prendre position par rapport aux considérants de l'arrêt attaqué et d'expliquer en quoi et pourquoi celui-ci serait contraire au droit, il n'y a pas lieu pour le reste de s'écarter des considérations de la juridiction cantonale.</w:t>
      </w:r>
    </w:p>
    <w:p>
      <w:r>
        <w:rPr>
          <w:b/>
        </w:rPr>
        <w:t>E. 6</w:t>
      </w:r>
    </w:p>
    <w:p>
      <w:r>
        <w:t>Mal fondé, le recours doit être rejeté dans la mesure où il est recevable. La recourante, qui succombe, supporte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