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6B_1030/2009 vom 25. Februar 2010</w:t>
      </w:r>
    </w:p>
    <w:p>
      <w:r>
        <w:t>Bundesgericht, 2010-02-25, DE</w:t>
      </w:r>
    </w:p>
    <w:p>
      <w:r>
        <w:rPr>
          <w:b/>
        </w:rPr>
        <w:t xml:space="preserve">Quelle: </w:t>
      </w:r>
      <w:r>
        <w:t>https://mcp.opencaselaw.ch/entscheid/bger_6B_1030_2009</w:t>
      </w:r>
    </w:p>
    <w:p>
      <w:r>
        <w:t>FR: TF 6B_1030/2009 du 25 février 2010</w:t>
      </w:r>
    </w:p>
    <w:p>
      <w:r>
        <w:t>IT: TF 6B_1030/2009 del 25 febbraio 2010</w:t>
      </w:r>
    </w:p>
    <w:p>
      <w:pPr>
        <w:pStyle w:val="Heading2"/>
      </w:pPr>
      <w:r>
        <w:t>Erwägungen</w:t>
      </w:r>
    </w:p>
    <w:p>
      <w:r>
        <w:rPr>
          <w:b/>
        </w:rPr>
        <w:t>E. 1</w:t>
      </w:r>
    </w:p>
    <w:p>
      <w:r>
        <w:t>Die Eingabe des Beschwerdeführers zur Administrativmassnahme (Eröffnungsverfügung vom 6. Januar 2010) betrifft nicht dieses Beschwerdeverfahren. Darauf ist nicht einzutreten.</w:t>
      </w:r>
    </w:p>
    <w:p>
      <w:r>
        <w:rPr>
          <w:b/>
        </w:rPr>
        <w:t>E. 2</w:t>
      </w:r>
    </w:p>
    <w:p>
      <w:r>
        <w:t>Der Beschwerdeführer macht geltend, nach seiner Überzeugung werde durch das vorinstanzliche Urteil die Rechtsprechung in unserem Land mit Füssen getreten. Das polizeiliche Einvernahmeprotokoll habe dem Gericht als Urteilsgrundlage gedient. In diesem seien aber seine Ausführungen nur oberflächlich festgehalten worden. Polizei und Gerichtsherren seien überzeugt gewesen, einen Fahrerflüchtigen vor sich zu haben. Die strafrechtlichen Vorwürfe träfen nicht zu.</w:t>
      </w:r>
    </w:p>
    <w:p>
      <w:r>
        <w:rPr>
          <w:b/>
        </w:rPr>
        <w:t>E. 2.1</w:t>
      </w:r>
    </w:p>
    <w:p>
      <w:r>
        <w:t>Die Vorinstanz legt mit Verweisung auf das Urteil des Strafgerichtspräsidenten nachvollziehbar dar, was dem Beschwerdeführer vorgeworfen wird. Der zugrunde gelegte Sachverhalt entspricht der eigenen Darstellung des Beschwerdeführers. Es wird ihm vorgeworfen, auf der Kreuzung unvermittelt angehalten und damit den Radfahrer zu Fall gebracht zu haben und anschliessend pflichtwidrig ( Art. 92 Abs. 2 SVG ) davon gefahren zu sein (vgl. die im Dispositiv des strafgerichtlichen Urteils S. 7 erwähnten Gesetzesbestimmungen).</w:t>
      </w:r>
    </w:p>
    <w:p>
      <w:r>
        <w:rPr>
          <w:b/>
        </w:rPr>
        <w:t>E. 2.2</w:t>
      </w:r>
    </w:p>
    <w:p>
      <w:r>
        <w:t>Wie das Dossier zeigt, wurde die Strafsache korrekt abgeklärt. Eine willkürliche Sachverhaltsfeststellung ist nicht ersichtlich. Dass das im Urteil erwähnte Geräusch "nicht der richtige Ausdruck" sei, ändert an der Sache nichts. Im angefochtenen Urteil (strafgerichtliches Urteil S. 5) wird ein Schlag am Fahrzeugheck erwähnt und auf seine Aussage bei der Verhandlung Bezug genommen (Protokoll S. 1; act. 69). Dort erklärte er erneut, durch aufwirbelnde Eiskristalle geblendet worden zu sein. Diese Tatsache erwähnt die Vorinstanz (strafgerichtliches Urteil S. 2). Wie der Beschwerdeführer festhält, kam er mitten auf der Kreuzung zum Stehen (von ihm als "2. Halt" bezeichnet; in einer weiteren Eingabe führt er aus, "[e]rst mein dritter Halt irritierte ihn, und er verlor das Gleichgewicht"). Das ändert an der Sache nichts. Wenn er vorbringt, jeder Verkehrsteilnehmer müsse sich einer solchen Situation anpassen können, und er habe sich nur aus einer Notlage gerettet, um niemanden zu gefährden, ändert auch das nichts daran, dass er sich verkehrsregelwidrig verhalten und damit einen Unfall verursacht hatte. Jeder Verkehrsteilnehmer muss damit rechnen, bei tiefliegender Sonne geblendet zu werden. Er muss sich entsprechend vorsehen.</w:t>
      </w:r>
    </w:p>
    <w:p>
      <w:r>
        <w:rPr>
          <w:b/>
        </w:rPr>
        <w:t>E. 2.3</w:t>
      </w:r>
    </w:p>
    <w:p>
      <w:r>
        <w:t>Der Beschwerdeführer konnte sich an der mündlichen Verhandlung vor dem Strafgerichtspräsidenten äussern und wurde befragt. Dabei war er von einem Rechtsanwalt verbeiständet. Die Zeugen und insbesondere der Radfahrer wurden ebenfalls befragt.</w:t>
      </w:r>
    </w:p>
    <w:p>
      <w:r>
        <w:rPr>
          <w:b/>
        </w:rPr>
        <w:t>E. 3</w:t>
      </w:r>
    </w:p>
    <w:p>
      <w:r>
        <w:t>Die Beschwerde ist unbegründet. Sie ist abzuweisen, soweit darauf einzutreten ist. Der Beschwerdeführer trägt die Kosten vor Bundesgericht (Art. 66 Abs. 1 Bundesgerichtsgesetz).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