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1030/2008 vom 23. Februar 2009</w:t>
      </w:r>
    </w:p>
    <w:p>
      <w:r>
        <w:t>Bundesgericht, 2009-02-23, FR</w:t>
      </w:r>
    </w:p>
    <w:p>
      <w:r>
        <w:rPr>
          <w:b/>
        </w:rPr>
        <w:t xml:space="preserve">Quelle: </w:t>
      </w:r>
      <w:r>
        <w:t>https://mcp.opencaselaw.ch/entscheid/bger_6B_1030_2008</w:t>
      </w:r>
    </w:p>
    <w:p>
      <w:r>
        <w:t>FR: TF 6B 1030/2008 du 23 février 2009</w:t>
      </w:r>
    </w:p>
    <w:p>
      <w:r>
        <w:t>IT: TF 6B 1030/2008 del 23 febbraio 2009</w:t>
      </w:r>
    </w:p>
    <w:p>
      <w:pPr>
        <w:pStyle w:val="Heading2"/>
      </w:pPr>
      <w:r>
        <w:t>Regeste</w:t>
      </w:r>
    </w:p>
    <w:p>
      <w:r>
        <w:t>Fixation de la peine; délai d'épreuve (homicide par négligence, etc.) | Droit pénal (en général)</w:t>
      </w:r>
    </w:p>
    <w:p>
      <w:pPr>
        <w:pStyle w:val="Heading2"/>
      </w:pPr>
      <w:r>
        <w:t>Erwägungen</w:t>
      </w:r>
    </w:p>
    <w:p>
      <w:r>
        <w:rPr>
          <w:b/>
        </w:rPr>
        <w:t>E. 1</w:t>
      </w:r>
    </w:p>
    <w:p>
      <w:r>
        <w:t>Le recourant qualifie d'excessivement sévère la peine privative de liberté de deux ans prononcée par la cour cantonale.</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 ATF 134 IV 17 consid. 2.1). Cette jurisprudence conserve toute sa valeur, de sorte que l'on peut continuer à s'y référer (voir ATF 129 IV 6 consid. 6.1 p. 21; 127 IV 101 consid. 2a p. 103; 117 IV 112 consid. 1, 116 IV 288 consid. 2a et les références citées).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1.2</w:t>
      </w:r>
    </w:p>
    <w:p>
      <w:r>
        <w:t>Le recourant reproche à la cour cantonale d'avoir retenu la circonstance aggravante du concours. Il explique que les premiers juges y avaient renoncé vu le minimum déjà élevé de la peine prévue en cas de meurtre. Pour le recourant, le jugement de première instance serait devenu définitif et exécutoire sur ce point. Il serait contraire aux principes de l'accusation et de la bonne foi de retenir maintenant le concours. Par son arrêt de renvoi, le Tribunal fédéral a annulé l'arrêt cantonal en tant qu'il retenait le meurtre par dol éventuel. L'autorité cantonale, à laquelle la cause était renvoyée pour nouveau jugement, devait dès lors qualifier à nouveau l'infraction et fixer une nouvelle peine. Pour ce faire, elle était libre d'apprécier autrement que dans la décision annulée les éléments déterminants pour fixer la peine au vu des nouvelles circonstances pertinentes ( ATF 113 IV 47 ). Au demeurant, il est manifeste que les infractions d'homicide par négligence et d'exposition entrent en concours, puisque, par son comportement, le recourant a non seulement causé la mort de son neveu, mais en outre mis en danger la vie de son propre fils, dont il avait la garde. Infondé, le grief soulevé doit être rejeté.</w:t>
      </w:r>
    </w:p>
    <w:p>
      <w:r>
        <w:rPr>
          <w:b/>
        </w:rPr>
        <w:t>E. 1.3</w:t>
      </w:r>
    </w:p>
    <w:p>
      <w:r>
        <w:t>Le recourant fait grief à la cour cantonale d'avoir retenu qu'il avait mis en danger la vie de son fils ainsi que causé la mort de son neveu uniquement pour le plaisir de « rouler sport ». A ses yeux, il s'agit d'une appréciation des premiers juges, qui leur avait permis de retenir le meurtre par dol éventuel. En retenant à nouveau cet élément, la cour cantonale violerait en conséquence le droit fédéral. La cour cantonale insiste sur la violation crasse d'un devoir de prudence élémentaire et des règles de la conduite automobile. Elle explique que le recourant n'avait aucune raison de conduire aussi vite, puisqu'il était en vacances et qu'il n'était pas pressé. Elle ajoute qu'il a mis en danger la vie de son fils ainsi que causé la mort de son neveu uniquement pour le plaisir de « rouler sport ». L'analyse de la faute du recourant, à laquelle procède la cour cantonale, est exempte de critique. En qualifiant d'extrêmement grave la faute du recourant, la cour cantonale n'a pas réintroduit d'éléments d'appréciation écartés par le Tribunal fédéral. Mal fondé, le grief soulevé doit être rejeté.</w:t>
      </w:r>
    </w:p>
    <w:p>
      <w:r>
        <w:rPr>
          <w:b/>
        </w:rPr>
        <w:t>E. 1.4</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d'examen. En l'espèce, le recourant a été notamment reconnu coupable d'exposition et d'homicide par négligence, infractions qui entrent en concours. La négligence qui lui est reprochée est très grave. Comme le relève la cour cantonale, il n'y a aucune commune mesure entre la faute commise par le recourant et, par exemple, l'instant d'inattention qui peut valoir à un automobiliste d'être renvoyé pour homicide par négligence. A décharge, il convient de tenir compte du fait que le recourant a été profondément marqué par l'accident et qu'il porte sur la conscience le décès de son neveu ( art. 54 CP ). En outre, le recourant a un casier judiciaire vierge (hormis une condamnation pour excès de vitesse datant de 2000) et son employeur l'a décrit comme une personne intégrée et serviable. Dans ces circonstances, la peine de deux ans n'apparaît pas sévère à un point tel qu'il faille conclure à un abus du large pouvoir d'appréciation accordé à la cour cantonale. Le grief tiré de la violation de l' art. 47 CP doit être rejeté.</w:t>
      </w:r>
    </w:p>
    <w:p>
      <w:r>
        <w:rPr>
          <w:b/>
        </w:rPr>
        <w:t>E. 2</w:t>
      </w:r>
    </w:p>
    <w:p>
      <w:r>
        <w:t>Le recourant reproche à la cour cantonale de ne pas avoir examiné si une peine pécuniaire pouvait être prononcée. Dans la mesure où la peine entrant en considération dépassait largement une année, la cour cantonale n'avait pas à examiner si une peine pécuniaire était envisageable, puisque le maximum de celle-ci est fixé à 360 jours-amende.</w:t>
      </w:r>
    </w:p>
    <w:p>
      <w:r>
        <w:rPr>
          <w:b/>
        </w:rPr>
        <w:t>E. 3</w:t>
      </w:r>
    </w:p>
    <w:p>
      <w:r>
        <w:t>Condamné avec sursis, le recourant se plaint de la durée du délai d'épreuve. Selon lui, le sursis aurait dû être assorti d'un délai d'épreuve de deux ans et non de trois ans, comme l'a retenu la cour cantonale.</w:t>
      </w:r>
    </w:p>
    <w:p>
      <w:r>
        <w:rPr>
          <w:b/>
        </w:rPr>
        <w:t>E. 3.1</w:t>
      </w:r>
    </w:p>
    <w:p>
      <w:r>
        <w:t>Aux termes de l' art. 44 al. 1 CP , le juge impartit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 ATF 95 IV 121 consid. 1 p. 122). La durée doit être déterminée de manière à offrir la plus grande probabilité que le condamné ne récidivera pas (SCHNEIDER/GARRÉ, Basler Kommentar, Strafrecht I, 2e éd., 2007, art. 44, n. 4).</w:t>
      </w:r>
    </w:p>
    <w:p>
      <w:r>
        <w:rPr>
          <w:b/>
        </w:rPr>
        <w:t>E. 3.2</w:t>
      </w:r>
    </w:p>
    <w:p>
      <w:r>
        <w:t>Dans ce contexte également, les autorités cantonales disposent d'un large pouvoir d'appréciation et, dans la mesure où elles respectent le cadre légal, le Tribunal fédéral considère que le droit fédéral a été violé seulement lorsque le juge a abusé de ce pouvoir d'appréciation ( ATF 95 IV 121 consid. 1 p. 122). En l'espèce, la cour cantonale a estimé qu'un délai d'épreuve d'une durée de trois ans était nécessaire pour limiter assez largement le risque de récidive. Ce faisant, elle n'a pas outrepassé son pouvoir d'appréciation. Ce grief est donc également mal fondé.</w:t>
      </w:r>
    </w:p>
    <w:p>
      <w:r>
        <w:rPr>
          <w:b/>
        </w:rPr>
        <w:t>E. 4</w:t>
      </w:r>
    </w:p>
    <w:p>
      <w:r>
        <w:t>Le recours doit ainsi être rejeté. Le recourant qui succombe doit supporter les frais de justice ( art. 65 et 66 al. 1 LTF ). L'intimé, qui n'a pas participé à la procédure devant le Tribunal fédéral,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