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6B_102/2018 vom 17. April 2018</w:t>
      </w:r>
    </w:p>
    <w:p>
      <w:r>
        <w:t>Bundesgericht, 2018-04-17, FR</w:t>
      </w:r>
    </w:p>
    <w:p>
      <w:r>
        <w:rPr>
          <w:b/>
        </w:rPr>
        <w:t xml:space="preserve">Quelle: </w:t>
      </w:r>
      <w:r>
        <w:t>https://mcp.opencaselaw.ch/entscheid/bger_6B_102_2018</w:t>
      </w:r>
    </w:p>
    <w:p>
      <w:r>
        <w:t>FR: TF 6B_102/2018 du 17 avril 2018</w:t>
      </w:r>
    </w:p>
    <w:p>
      <w:r>
        <w:t>IT: TF 6B_102/2018 del 17 aprile 2018</w:t>
      </w:r>
    </w:p>
    <w:p>
      <w:pPr>
        <w:pStyle w:val="Heading2"/>
      </w:pPr>
      <w:r>
        <w:t>Erwägungen</w:t>
      </w:r>
    </w:p>
    <w:p>
      <w:r>
        <w:rPr>
          <w:b/>
        </w:rPr>
        <w:t>E. 1.1</w:t>
      </w:r>
    </w:p>
    <w:p>
      <w:r>
        <w:t>Par ordonnance du 8 août 2017, le Ministère public genevois a classé la plainte pénale que X.________ et B.________ ont déposée contre le notaire A.________ pour faux dans les titres et meurtre à la suite du décès en juin 2012 de leur père respectivement grand-père, feu C.________.</w:t>
      </w:r>
    </w:p>
    <w:p>
      <w:r>
        <w:t>Dans leur plainte, les prénommées expliquaient avoir pu prendre connaissance de la procédure de demande de reconnaissance en paternité initiée quelques années auparavant par D.________ à l'encontre de feu C.________ et qui s'était soldée par un jugement sur accord établissant le lien de filiation entre ces derniers. Elles rappelaient que jusqu'alors D.________ était le fils juridique de feu E.________, frère prédécédé de feu C.________, dont il avait hérité en qualité d'héritier réservataire. X.________ et B.________ reprochaient à A.________, exécuteur testamentaire de feu E.________, d'avoir, dans le cadre de cette procédure, adressé le 15 décembre 2011 au Tribunal civil de Genève une procuration datée du 13 décembre 2011 en affirmant qu'elle avait été signée en sa présence par feu C.________ et que ce dernier consentait à ce qu'un lien de filiation soit établi entre lui-même et D.________, alors qu'il savait que la signature avait été falsifiée, le tout dans le dessein de procurer à D.________ un avantage illicite, soit celui de voir reconnu son lien de filiation avec feu C.________. Il ressortait du procès-verbal de l'audience du 13 décembre 2011 devant le Tribunal civil que feu C.________ n'était pas en état de signer une telle procuration. Quelques jours plus tard, il avait été hospitalisé et les médecins avaient constaté qu'il souffrait de démence.</w:t>
      </w:r>
    </w:p>
    <w:p>
      <w:r>
        <w:rPr>
          <w:b/>
        </w:rPr>
        <w:t>E. 1.2</w:t>
      </w:r>
    </w:p>
    <w:p>
      <w:r>
        <w:t>Par arrêt du 13 décembre 2017, la Chambre pénale de recours de la Cour de justice genevoise a rejeté le recours de X.________ et confirmé l'ordonnance de classement.</w:t>
      </w:r>
    </w:p>
    <w:p>
      <w:r>
        <w:rPr>
          <w:b/>
        </w:rPr>
        <w:t>E. 1.2.1</w:t>
      </w:r>
    </w:p>
    <w:p>
      <w:r>
        <w:t>S'agissant du faux dans les titres, les magistrats cantonaux ont suivi l'expertise graphologique judiciaire selon laquelle il était mille fois plus probable que la signature litigieuse soit de la main de feu C.________ plutôt qu'une imitation. En particulier, ils ont considéré que l'expert judiciaire avait agi de manière indépendante et impartiale, que ses constatations étaient claires et qu'aucun élément du dossier - en particulier les expertises privées produites par la partie plaignante - n'ébranlait sérieusement la crédibilité de l'expertise judiciaire (cf. consid. 3.6).</w:t>
      </w:r>
    </w:p>
    <w:p>
      <w:r>
        <w:rPr>
          <w:b/>
        </w:rPr>
        <w:t>E. 1.2.2</w:t>
      </w:r>
    </w:p>
    <w:p>
      <w:r>
        <w:t>S'agissant des circonstances du décès de feu C.________, la chambre cantonale a retenu qu'aucun élément au dossier n'étayait la thèse de la partie plaignante, selon laquelle son demi-frère et l'exécuteur testamentaire auraient refusé tout acharnement thérapeutique et accéléré la mort de son père afin d'éviter que la procédure de mise sous tutelle de ce dernier engagée le 24 avril 2012 n'aboutisse et qu'un éventuel tuteur ne découvre la falsification de la signature litigieuse. En particulier, le notaire n'apparaissait aucunement dans le dossier médical de feu C.________. La signature litigieuse n'avait pas été falsifiée. Le refus d'un acharnement thérapeutique avait été pris de concert avec les médecins compte tenu de la dégradation de l'état de santé d'un patient âgé de 94 ans et en plein accord avec la famille. Si l'identité de la personne mentionnée comme étant la fille du patient restait incertaine, il n'en demeurait pas moins que le dossier mentionnait des discussions avec le reste de la famille, de sorte que la décision de non-réanimation ne prêtait pas le flanc à la critique. X.________ n'avait de surcroît formulé aucun grief à l'encontre des médecins. La présente procédure s'inscrivait dans le cadre d'un conflit successoral opposant X.________ à son demi-frère et à l'exécuteur testamentaire, de sorte que les éléments constitutifs de l'infraction de meurtre n'apparaissaient pas réunis (cf. consid. 3.7).</w:t>
      </w:r>
    </w:p>
    <w:p>
      <w:r>
        <w:rPr>
          <w:b/>
        </w:rPr>
        <w:t>E. 1.3</w:t>
      </w:r>
    </w:p>
    <w:p>
      <w:r>
        <w:t>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ne se détermine ni sur le principe ni sur la quotité d'un éventuel tort moral ou dommage. Invoquant des infractions distinctes, elle n'indique pas, par rapport à chacune d'elles, en quoi consisterait le dommage ou le tort moral en résultant (arrêt 6B_914/2013 du 27 février 2014 consid. 1.2). Cela se justifie d'autant plus que la recourante relève que l'homicide par négligence qu'elle invoque dépend en réalité du sort de l'infraction de faux dans les titres (cf. recours ch. 28). L'indication selon laquelle la présente cause s'inscrit également - mais pas uniquement - dans le cadre d'une querelle successorale l'opposant à son demi-frère et à l'intimé (cf. recours ch. 57) ne permet pas de déterminer spécifiquement quelles prétentions civiles la recourante entend déduire directement des infractions invoquées. L'absence d'explications sur la question des prétentions civiles dénie à la recourante la qualité pour recourir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