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102/2016 vom 9. Februar 2017</w:t>
      </w:r>
    </w:p>
    <w:p>
      <w:r>
        <w:t>Bundesgericht, 2017-02-09, FR</w:t>
      </w:r>
    </w:p>
    <w:p>
      <w:r>
        <w:rPr>
          <w:b/>
        </w:rPr>
        <w:t xml:space="preserve">Quelle: </w:t>
      </w:r>
      <w:r>
        <w:t>https://mcp.opencaselaw.ch/entscheid/bger_6B_102_2016</w:t>
      </w:r>
    </w:p>
    <w:p>
      <w:r>
        <w:t>FR: TF 6B 102/2016 du 9 février 2017</w:t>
      </w:r>
    </w:p>
    <w:p>
      <w:r>
        <w:t>IT: TF 6B 102/2016 del 9 febbraio 2017</w:t>
      </w:r>
    </w:p>
    <w:p>
      <w:pPr>
        <w:pStyle w:val="Heading2"/>
      </w:pPr>
      <w:r>
        <w:t>Regeste</w:t>
      </w:r>
    </w:p>
    <w:p>
      <w:r>
        <w:t>Indemnisation du conseil d'office | Procédure pénale</w:t>
      </w:r>
    </w:p>
    <w:p>
      <w:pPr>
        <w:pStyle w:val="Heading2"/>
      </w:pPr>
      <w:r>
        <w:t>Erwägungen</w:t>
      </w:r>
    </w:p>
    <w:p>
      <w:r>
        <w:rPr>
          <w:b/>
        </w:rPr>
        <w:t>E. 1</w:t>
      </w:r>
    </w:p>
    <w:p>
      <w:r>
        <w:t>Le recourant invoque une application arbitraire de l'art. 118A al. 2 de la loi genevoise du 26 septembre 2010 sur l'organisation judiciaire (LOJ/GE; RS/GE E 2 05). Il voit également dans le non-respect de cette disposition une violation de son droit à une composition conforme de l'autorité de jugement ( art. 30 al. 1 Cst. ).</w:t>
      </w:r>
    </w:p>
    <w:p>
      <w:r>
        <w:rPr>
          <w:b/>
        </w:rPr>
        <w:t>E. 1.1</w:t>
      </w:r>
    </w:p>
    <w:p>
      <w:r>
        <w:t>L' art. 30 al. 1 Cst. garantit à toute personne dont la cause doit être jugée dans une procédure judiciaire le droit à ce que sa cause soit portée devant un tribunal établi par la loi, compétent, indépendant et impartial. Les tribunaux d'exception sont interdits. Selon la jurisprudence, le droit des parties à une composition régulière du tribunal, qui est notamment une composante du droit d'être entendu ( ATF 127 I 128 consid. 4c p. 132),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131 I 31 consid. 2.1.2.1 p. 34).</w:t>
      </w:r>
    </w:p>
    <w:p>
      <w:r>
        <w:rPr>
          <w:b/>
        </w:rPr>
        <w:t>E. 1.2</w:t>
      </w:r>
    </w:p>
    <w:p>
      <w:r>
        <w:t>Aux termes de l'art. 118A al. 2 LOJ/GE, lorsqu'une chambre entend trancher une question juridique susceptible de concerner plusieurs chambres, elle demande l'accord des chambres intéressées réunies.</w:t>
      </w:r>
    </w:p>
    <w:p>
      <w:r>
        <w:rPr>
          <w:b/>
        </w:rPr>
        <w:t>E. 1.3</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Pour que la décision soit annulée pour arbitraire, il faut qu'elle se révèle arbitraire non seulement dans ses motifs mais aussi dans son résultat ( ATF 141 I 49 consid. 3.4 p. 53; 140 III 115 consid. 2 p. 117). Le Tribunal fédéral n'examine la violation arbitraire de dispositions de droit cantonal que si ce grief a été invoqué et motivé de manière précise (cf. art. 106 al. 2 LTF ; ATF 142 I 99 consid. 1.7.2 p. 106).</w:t>
      </w:r>
    </w:p>
    <w:p>
      <w:r>
        <w:rPr>
          <w:b/>
        </w:rPr>
        <w:t>E. 1.4</w:t>
      </w:r>
    </w:p>
    <w:p>
      <w:r>
        <w:t>En l'espèce, selon le recourant, deux autorités cantonales - l'autorité précédente et la Chambre pénale d'appel et de révision genevoise - étaient toutes deux susceptibles d'avoir à trancher dans des cas concrets de la problématique de la constitutionnalité du tarif genevois prévoyant la rémunération de l'avocat stagiaire, de sorte que la procédure de l'art. 118A al. 2 LOJ/GE aurait dû être engagée. Le recourant, s'il expose dans quelle mesure cette disposition cantonale aurait été selon lui violée, n'indique aucunement en quoi une telle violation conduirait à un résultat insoutenable. Son grief d'arbitraire est irrecevable. Le recourant ne conteste pas la compétence de l'autorité précédente pour statuer dans la présente cause. Qu'elle doive requérir l'accord des chambres intéressées réunies, en vertu de l'art. 118A al. 2 LOJ/GE, ne change rien au fait que c'est l'autorité précédente et elle seule qui in fine était compétente pour rendre l'arrêt attaqué. Le non- respect invoqué de l'art. 118 LOJ/GE ne rend par conséquent pas contraire à la loi la composition de l'autorité précédente. Le grief de violation de l' art. 30 al. 1 Cst. est infondé.</w:t>
      </w:r>
    </w:p>
    <w:p>
      <w:r>
        <w:rPr>
          <w:b/>
        </w:rPr>
        <w:t>E. 2</w:t>
      </w:r>
    </w:p>
    <w:p>
      <w:r>
        <w:t>Le recourant invoque une violation de l' art. 390 al. 2 CPP , constitutive selon lui également de violation de l' art. 29 al. 2 Cst.</w:t>
      </w:r>
    </w:p>
    <w:p>
      <w:r>
        <w:rPr>
          <w:b/>
        </w:rPr>
        <w:t>E. 2.1</w:t>
      </w:r>
    </w:p>
    <w:p>
      <w:r>
        <w:t>Aux termes de l' art. 390 al. 2 CPP , si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w:t>
      </w:r>
    </w:p>
    <w:p>
      <w:r>
        <w:rPr>
          <w:b/>
        </w:rPr>
        <w:t>E. 2.2</w:t>
      </w:r>
    </w:p>
    <w:p>
      <w:r>
        <w:t>Le recourant relève, à juste titre, que l'autorité précédente a implicitement estimé que les conditions posées par l' art. 390 al. 2 CPP - permettant de renoncer à un échange d'écritures - étaient réalisées (recours, p. 7 ch. 25; arrêt attaqué, p. 4 consid. 2). Dans ces conditions, son grief de violation du droit d'être entendu, consistant en une motivation inexistante sur ce point, ne peut qu'être rejeté.</w:t>
      </w:r>
    </w:p>
    <w:p>
      <w:r>
        <w:rPr>
          <w:b/>
        </w:rPr>
        <w:t>E. 2.3</w:t>
      </w:r>
    </w:p>
    <w:p>
      <w:r>
        <w:t>Conformément à la jurisprudence, en tant que le recourant reproche à la cour cantonale d'avoir ignoré l' art. 390 al. 2 CPP en ne procédant pas à un échange d'écritures en faveur d'une autorité intimée, il ne démontre pas en quoi il serait affecté par cette manière de procéder - dont pourrait tout au plus se plaindre cette autorité intimée -, de sorte que son grief de violation de l' art. 390 al. 2 CPP doit être rejeté (cf. arrêts 6B_1200/2013 du 1er mai 2014 consid. 4; 6B_801/2013 du 17 décembre 2013 consid. 3).</w:t>
      </w:r>
    </w:p>
    <w:p>
      <w:r>
        <w:rPr>
          <w:b/>
        </w:rPr>
        <w:t>E. 3</w:t>
      </w:r>
    </w:p>
    <w:p>
      <w:r>
        <w:t>Le recourant reproche à l'autorité précédente d'avoir fondé son raisonnement sur des données récoltées sur internet, pour notamment établir un " salaire médian" et des charges sociales dues en l'espèce, sans lui permettre de se déterminer sur ces éléments nouveaux. Il y voit une violation de son droit d'être entendu.</w:t>
      </w:r>
    </w:p>
    <w:p>
      <w:r>
        <w:rPr>
          <w:b/>
        </w:rPr>
        <w:t>E. 3.1</w:t>
      </w:r>
    </w:p>
    <w:p>
      <w:r>
        <w:t>Le droit d'être entendu consacré notamment par l' art. 107 CPP implique la faculté de s'exprimer sur les preuves propres à influencer le jugement (cf. ATF 132 V 387 consid. 3.1 p. 388). Le Tribunal fédéral a ainsi jugé que lorsque une juridiction d'appel entend fonder sa décision sur des preuves nouvelles, elle doit en informer les parties et leur donner l'occasion de s'exprimer à leur sujet ( ATF 124 II 132 consid 2b p. 137 et les références citées; arrêt 6B_103/2015 du 21 avril 2015 consid. 2, in SJ 2015 I 386). Il n'en va pas différemment d'une autorité de recours, notamment lorsque elle administre d'office les preuves complémentaires nécessaires au traitement du recours (cf. art. 389 al. 3 CPP ). 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 6B_103/2015 du 21 avril 2015 consid. 2, in SJ 2015 I 386).</w:t>
      </w:r>
    </w:p>
    <w:p>
      <w:r>
        <w:rPr>
          <w:b/>
        </w:rPr>
        <w:t>E. 3.2</w:t>
      </w:r>
    </w:p>
    <w:p>
      <w:r>
        <w:t>En l'espèce, l'autorité précédente s'est fondée à plusieurs reprises sur des éléments tirés de calculateurs trouvés sur internet. Il ne s'agit pas de faits notoires au sens de l' art. 139 al. 2 CPP . Elle aurait dû, avant de rendre sa décision, communiquer au recourant ses recherches, après les avoir versées au dossier, et lui offrir la possibilité de s'exprimer à leurs propos. Il s'ensuit que le grief de violation du droit d'être entendu est fondé à cet égard. Il conduit à l'admission du recours, à l'annulation de l'arrêt attaqué et au renvoi de la cause pour nouvelle décision, les autres griefs soulevés par le recourant devenant sans objet. La question de savoir si le tarif horaire est conforme aux griefs constitutionnels soulevés par le recourant devra être examinée après avoir établi les faits nécessaires. L'autorité précédente devra pour ce faire compléter le jugement de première instance, muet sur ce point, conformément à l' art. 389 al. 3 CPP et dans le respect du droit d'être entendu du recourant. Il n'y a pas lieu de prélever de frais ( art. 66 al. 1 et 4 LTF ). Le recourant peut prétendre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