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6B_1029/2018 vom 23. Oktober 2018</w:t>
      </w:r>
    </w:p>
    <w:p>
      <w:r>
        <w:t>Bundesgericht, 2018-10-23, DE</w:t>
      </w:r>
    </w:p>
    <w:p>
      <w:r>
        <w:rPr>
          <w:b/>
        </w:rPr>
        <w:t xml:space="preserve">Quelle: </w:t>
      </w:r>
      <w:r>
        <w:t>https://mcp.opencaselaw.ch/entscheid/bger_6B_1029_2018</w:t>
      </w:r>
    </w:p>
    <w:p>
      <w:r>
        <w:t>FR: TF 6B_1029/2018 du 23 octobre 2018</w:t>
      </w:r>
    </w:p>
    <w:p>
      <w:r>
        <w:t>IT: TF 6B_1029/2018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erhob mit Eingabe vom 11. Oktober 2018 Beschwerde in Strafsachen gegen den Beschluss des Obergerichts des Kantons Zürich vom 14. September 2018 (UE180178-O/U/HON).</w:t>
      </w:r>
    </w:p>
    <w:p>
      <w:r>
        <w:rPr>
          <w:b/>
        </w:rPr>
        <w:t>E. 2</w:t>
      </w:r>
    </w:p>
    <w:p>
      <w:r>
        <w:t>Mit Schreiben vom 22. Oktober 2018 wurde die Beschwerde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