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6B_1027/2018 vom 7. November 2018</w:t>
      </w:r>
    </w:p>
    <w:p>
      <w:r>
        <w:t>Bundesgericht, 2018-11-07, FR</w:t>
      </w:r>
    </w:p>
    <w:p>
      <w:r>
        <w:rPr>
          <w:b/>
        </w:rPr>
        <w:t xml:space="preserve">Quelle: </w:t>
      </w:r>
      <w:r>
        <w:t>https://mcp.opencaselaw.ch/entscheid/bger_6B_1027_2018</w:t>
      </w:r>
    </w:p>
    <w:p>
      <w:r>
        <w:t>FR: TF 6B_1027/2018 du 7 novembre 2018</w:t>
      </w:r>
    </w:p>
    <w:p>
      <w:r>
        <w:t>IT: TF 6B_1027/2018 del 7 novembre 2018</w:t>
      </w:r>
    </w:p>
    <w:p>
      <w:pPr>
        <w:pStyle w:val="Heading2"/>
      </w:pPr>
      <w:r>
        <w:t>Erwägungen</w:t>
      </w:r>
    </w:p>
    <w:p>
      <w:r>
        <w:rPr>
          <w:b/>
        </w:rPr>
        <w:t>E. 1</w:t>
      </w:r>
    </w:p>
    <w:p>
      <w:r>
        <w:t>Le recourant soutient que son expulsion violerait les art. 66a CP , 5 et 13 Cst. ainsi que 8 CEDH.</w:t>
      </w:r>
    </w:p>
    <w:p>
      <w:r>
        <w:rPr>
          <w:b/>
        </w:rPr>
        <w:t>E. 1.1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1.2</w:t>
      </w:r>
    </w:p>
    <w:p>
      <w:r>
        <w:t>En l'espèce, le recourant a commis une infraction (infraction à l' art. 19 al. 2 LStup ) qui tombe sous le coup de l' art. 66a al. 1 let . o CP. Il remplit donc a priori les conditions d'une expulsion, sous la réserve d'une application de l' art. 66a al. 2 CP , voire également des normes de droit international.</w:t>
      </w:r>
    </w:p>
    <w:p>
      <w:r>
        <w:rPr>
          <w:b/>
        </w:rPr>
        <w:t>E. 1.3</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6B_724/2018 du 30 octobre 2018 consid. 2.3.1; 6B_296/2018 du 13 juillet 2018 consid. 3.2; 6B_506/2017 du 14 février 2018 consid. 1.1 et les références citées). Le fait que la clause de rigueur soit une norme potestative ne signifie pas que le juge pénal pourrait librement décider d'appliquer ou non l'exception de l' art.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 6B_724/2018 précité consid. 2.3.1).</w:t>
      </w:r>
    </w:p>
    <w:p>
      <w:r>
        <w:rPr>
          <w:b/>
        </w:rPr>
        <w:t>E. 1.4</w:t>
      </w:r>
    </w:p>
    <w:p>
      <w:r>
        <w:t>La loi ne définit pas ce qu'il faut entendre par une "situation personnelle grave" (première condition cumulative) ni n'indique les critères à prendre en compte dans la pesée des intérêts (seconde condition cumulative).</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6B_724/2018 précité consid. 2.3.2; 6B_371/2018 du 21 août 2018 consid. 2.5).</w:t>
      </w:r>
    </w:p>
    <w:p>
      <w:r>
        <w:t>La cour cantonale a considéré que le recourant pouvait se prévaloir d'un droit au respect de sa vie familiale au sens de l' art. 8 par. 1 CEDH , en raison de la présence en Suisse de ses deux enfants. On ignore, à la lecture du jugement attaqué, si le recourant entretient avec ceux-ci un lien particulièrement fort au sens de la jurisprudence, s'il bénéficie d'un droit de garde ou de visite ou encore s'il leur verse régulièrement des prestations financières (cf. ATF 144 I 91 consid. 5 p. 96 ss; 143 I 21 consid. 5.3 p. 27 s.). Quoi qu'il en soit, à supposer que le recourant puisse se prévaloir d'un droit découlant de l' art. 8 par. 1 CEDH , son expulsion pourrait de toute manière être confirmée au regard de l' art. 8 par. 2 CEDH (cf. consid. 1.5.2 infra).</w:t>
      </w:r>
    </w:p>
    <w:p>
      <w:r>
        <w:rPr>
          <w:b/>
        </w:rPr>
        <w:t>E. 1.5</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6B_724/2018 précité consid. 2.5; 6B_371/2018 précité consid. 3.2).</w:t>
      </w:r>
    </w:p>
    <w:p>
      <w:r>
        <w:rPr>
          <w:b/>
        </w:rPr>
        <w:t>E. 1.5.1</w:t>
      </w:r>
    </w:p>
    <w:p>
      <w:r>
        <w:t>La cour cantonale a exposé que le recourant était arrivé en Suisse en 2007, avait obtenu une autorisation de séjour par son mariage puis une autorisation d'établissement. L'intéressé y avait certes travaillé mais avait également connu des périodes de chômage et émargeait à l'aide sociale. Il n'avait pas créé de liens sociaux et professionnels spécialement intenses avec la Suisse et n'y était pas particulièrement bien intégré. Les infractions commises par le recourant étaient graves et la quantité de cocaïne impliquée importante. Celui-ci avait contribué à mettre sur le marché une très grande quantité de stupéfiants.</w:t>
      </w:r>
    </w:p>
    <w:p>
      <w:r>
        <w:t>Le recourant était âgé de 37 ans et vivait en Suisse depuis 11 années. Il conservait des liens avec son pays natal, quitté en 2002 pour la Grèce, dans lequel il avait passé son enfance et sa scolarité et où vivaient encore ses frères et soeurs. En Suisse, le recourant avait appris l'allemand et donné satisfaction à ses employeurs. Il était en bonne santé.</w:t>
      </w:r>
    </w:p>
    <w:p>
      <w:r>
        <w:rPr>
          <w:b/>
        </w:rPr>
        <w:t>E. 1.5.2</w:t>
      </w:r>
    </w:p>
    <w:p>
      <w:r>
        <w:t>En l'espèce, les intérêts présidant à l'expulsion du recourant sont importants, dès lors que celui-ci s'est - quoique sur une courte période - livré à un important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 55;</w:t>
      </w:r>
    </w:p>
    <w:p>
      <w:r>
        <w:t>Dalia c. France du 19 février 1998, Recueil CourEDH 1998-I 76 § 54). Par ailleurs, il convient de relever que la peine privative de liberté à laquelle a été condamné le recourant dépasse largement une année, ce qui pourrait permettre une révocation de son autorisation d'établissement sur la base des art. 62 al. 1 let. b et 63 al. 1 let. a LEtr (cf. l'arrêt publié aux ATF 139 I 145 consid. 2.1 p. 147, selon lequel constitue une "peine privative de liberté de longue durée" au sens de l'art. 62 al. 1 let. b LEtr toute peine dépassant un an d'emprisonnement).</w:t>
      </w:r>
    </w:p>
    <w:p>
      <w:r>
        <w:t>Le recourant est arrivé en Suisse à l'âge adulte et y a passé deux fois moins d'années qu'au Nigéria. Son intégration en Suisse ne s'avère pas particulièrement réussie. L'intéressé émarge à l'aide sociale et ne revendique aucune relation sociale ou professionnelle particulière, quand bien même il a - par le passé - donné satisfaction à ses employeurs. Rien ne permet de considérer que le recourant se réintégrerait plus difficilement au Nigéria, où il possède encore de la famille et où il a déjà travaillé par le passé, qu'en Suisse. Le temps écoulé depuis la commission des infractions n'est pas important. Il ressort par ailleurs du jugement attaqué que le comportement du recourant durant cette période a été bon, en tout cas pendant sa détention.</w:t>
      </w:r>
    </w:p>
    <w:p>
      <w:r>
        <w:t>En définitive, compte tenu de la gravité des infractions sanctionnées en matière de stupéfiants et de la médiocre intégration du recourant en Suisse, l'intérêt public à l'expulsion l'emporte sur l'intérêt privé de l'intéressé à demeurer en Suisse. La réintégration au Nigéria, pays dans lequel celui-ci a passé la majeure partie de sa vie et avec lequel il conserve des liens culturels et familiaux non négligeables, ne sera pas particulièrement difficile. Il n'apparaît pas que le recourant s'y trouvera dans une situation sensiblement plus défavorable ni qu'il disposerait, en Suisse, de meilleures chances de réinsertion sociale. L'expulsion portera certes une atteinte aux relations entre le recourant et ses enfants - avec lesquels l'intéressé ne fait pas ménage commun -, mais il convient de relever que cette mesure reste d'une durée limitée - soit cinq années - et ne l'empêchera pas d'entretenir un contact avec ceux-ci par le biais des moyens de communication modernes (cf. ATF 144 I 91 consid. 5.1 p. 97).</w:t>
      </w:r>
    </w:p>
    <w:p>
      <w:r>
        <w:t>Dans ces circonstances, l'expulsion s'avère conforme au principe de la proportionnalité.</w:t>
      </w:r>
    </w:p>
    <w:p>
      <w:r>
        <w:rPr>
          <w:b/>
        </w:rPr>
        <w:t>E. 1.6</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2</w:t>
      </w:r>
    </w:p>
    <w:p>
      <w:r>
        <w:t>L'examen des conditions d'application de l' art. 66a al. 2 CP ayant notamment impliqué un contrôle de la proportionnalité de la mesure ainsi que la prise en compte, dans une société démocratique, du droit du recourant au respect de sa vie privée (cf. arrêts 6B_724/2018 précité consid. 3; 6B_371/2018 précité consid. 4), les griefs de ce dernier portant spécifiquement sur une éventuelle violation des art. 5 et 13 Cst. ainsi que 8 CEDH n'ont plus d'objet, l'expulsion prononcée ne portant pas atteinte à ces dispositions.</w:t>
      </w:r>
    </w:p>
    <w:p>
      <w:r>
        <w:rPr>
          <w:b/>
        </w:rPr>
        <w:t>E. 3</w:t>
      </w:r>
    </w:p>
    <w:p>
      <w:r>
        <w:t>Le recourant soutient encore que son expulsion porterait atteinte à l'art. 9 de la convention des Nations Unies du 20 novembre 1989 relative aux droits de l'enfant (CDE; RS 0.107).</w:t>
      </w:r>
    </w:p>
    <w:p>
      <w:r>
        <w:t>Aucun grief portant sur cette disposition n'a été traité dans le jugement attaqué, sans que le recourant ne se plaigne d'un déni de justice à cet égard. Partant, le grief est irrecevable, faute d'épuisement des instances cantonales (cf. art. 80 al. 1 LTF ). Au demeurant, le recourant ne saurait déduire aucun droit à demeurer en Suisse des dispositions de la CDE (cf. ATF 140 I 145 consid. 3.2 p. 148; 139 I 315 consid. 2.4 et 2.5 p. 320 ss; cf. aussi l'arrêt 6B_770/2018 du 24 septembre 2018 consid. 3).</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